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1055.11811023622" w:type="dxa"/>
      </w:tblGrid>
      <w:tblPr>
        <w:tblW w:w="11055.11811023622" w:type="auto"/>
        <w:tblLayout w:type="autofit"/>
        <w:bidiVisual w:val="0"/>
      </w:tblPr>
      <w:tr>
        <w:trPr/>
        <w:tc>
          <w:tcPr>
            <w:tcW w:w="11055.11811023622" w:type="dxa"/>
          </w:tcPr>
          <w:p>
            <w:pPr>
              <w:jc w:val="center"/>
            </w:pPr>
            <w:r>
              <w:rPr>
                <w:rFonts w:ascii="Arial" w:hAnsi="Arial" w:eastAsia="Arial" w:cs="Arial"/>
                <w:sz w:val="40"/>
                <w:szCs w:val="40"/>
                <w:b w:val="1"/>
                <w:bCs w:val="1"/>
              </w:rPr>
              <w:t xml:space="preserve">TRIBUNALES</w:t>
            </w:r>
          </w:p>
        </w:tc>
      </w:tr>
    </w:tbl>
    <w:tbl>
      <w:tblGrid>
        <w:gridCol w:w="8503.937007874016" w:type="dxa"/>
        <w:gridCol w:w="2551.1811023622045" w:type="dxa"/>
      </w:tblGrid>
      <w:tblPr>
        <w:tblW w:w="11055.11811023622" w:type="auto"/>
        <w:tblLayout w:type="autofit"/>
        <w:bidiVisual w:val="0"/>
      </w:tblPr>
      <w:tr>
        <w:trPr/>
        <w:tc>
          <w:tcPr>
            <w:tcW w:w="8503.937007874016" w:type="dxa"/>
          </w:tcPr>
          <w:p>
            <w:pPr/>
            <w:r>
              <w:rPr>
                <w:rFonts w:ascii="Arial" w:hAnsi="Arial" w:eastAsia="Arial" w:cs="Arial"/>
                <w:sz w:val="22"/>
                <w:szCs w:val="22"/>
                <w:b w:val="0"/>
                <w:bCs w:val="0"/>
              </w:rPr>
              <w:t xml:space="preserve">Caratulado:</w:t>
            </w:r>
          </w:p>
          <w:p>
            <w:pPr/>
            <w:r>
              <w:rPr>
                <w:rFonts w:ascii="Arial" w:hAnsi="Arial" w:eastAsia="Arial" w:cs="Arial"/>
                <w:sz w:val="40"/>
                <w:szCs w:val="40"/>
                <w:b w:val="1"/>
                <w:bCs w:val="1"/>
              </w:rPr>
              <w:t xml:space="preserve">VERSCHAE/SERVICIO DE SALUD VIÑA DEL MAR-QUILLOTA</w:t>
            </w:r>
          </w:p>
        </w:tc>
        <w:tc>
          <w:tcPr>
            <w:tcW w:w="2551.1811023622045" w:type="dxa"/>
          </w:tcPr>
          <w:p>
            <w:pPr/>
            <w:r>
              <w:rPr>
                <w:rFonts w:ascii="Arial" w:hAnsi="Arial" w:eastAsia="Arial" w:cs="Arial"/>
                <w:sz w:val="22"/>
                <w:szCs w:val="22"/>
                <w:b w:val="0"/>
                <w:bCs w:val="0"/>
              </w:rPr>
              <w:t xml:space="preserve">Rol:</w:t>
            </w:r>
          </w:p>
          <w:p>
            <w:pPr/>
            <w:r>
              <w:rPr>
                <w:rFonts w:ascii="Arial" w:hAnsi="Arial" w:eastAsia="Arial" w:cs="Arial"/>
                <w:sz w:val="40"/>
                <w:szCs w:val="40"/>
                <w:b w:val="1"/>
                <w:bCs w:val="1"/>
              </w:rPr>
              <w:t xml:space="preserve">O-781-2022</w:t>
            </w:r>
          </w:p>
        </w:tc>
      </w:tr>
    </w:tbl>
    <w:tbl>
      <w:tblGrid>
        <w:gridCol w:w="11055.11811023622" w:type="dxa"/>
      </w:tblGrid>
      <w:tblPr>
        <w:jc w:val="center"/>
        <w:tblW w:w="11055.11811023622" w:type="auto"/>
        <w:tblLayout w:type="autofit"/>
        <w:bidiVisual w:val="0"/>
      </w:tblPr>
      <w:tr>
        <w:trPr/>
        <w:tc>
          <w:tcPr>
            <w:tcW w:w="11055.11811023622" w:type="dxa"/>
            <w:tcBorders>
              <w:top w:val="single" w:sz="0" w:color="FFFFFF"/>
              <w:left w:val="single" w:sz="0" w:color="FFFFFF"/>
              <w:right w:val="single" w:sz="0" w:color="FFFFFF"/>
              <w:bottom w:val="single" w:sz="0" w:color="FFFFFF"/>
            </w:tcBorders>
          </w:tcPr>
          <w:tbl>
            <w:tblGrid>
              <w:gridCol w:w="1508.0314960629923" w:type="dxa"/>
              <w:gridCol w:w="6032.125984251969" w:type="dxa"/>
            </w:tblGrid>
            <w:tblPr>
              <w:jc w:val="center"/>
              <w:tblW w:w="7540.1574803149615" w:type="auto"/>
              <w:tblLayout w:type="autofit"/>
              <w:bidiVisual w:val="0"/>
              <w:tblCellMar>
                <w:top w:w="170.07874015748033" w:type="dxa"/>
                <w:left w:w="170.07874015748033" w:type="dxa"/>
                <w:right w:w="170.07874015748033" w:type="dxa"/>
                <w:bottom w:w="170.07874015748033" w:type="dxa"/>
              </w:tblCellMar>
            </w:tblP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Fecha</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28-09-2023</w:t>
                  </w:r>
                </w:p>
              </w:tc>
            </w:t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Tribunal</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Juzgado de Letras del Trabajo de Valparaíso</w:t>
                  </w:r>
                </w:p>
              </w:tc>
            </w:tr>
            <w:tr>
              <w:trPr/>
              <w:tc>
                <w:tcPr>
                  <w:tcW w:w="1508.0314960629923" w:type="dxa"/>
                  <w:vAlign w:val="center"/>
                  <w:tcBorders>
                    <w:top w:val="single" w:sz="28.346456692913385" w:color="FFFFFF"/>
                    <w:left w:val="single" w:sz="28.346456692913385" w:color="FFFFFF"/>
                    <w:right w:val="single" w:sz="28.346456692913385" w:color="FFFFFF"/>
                    <w:bottom w:val="single" w:sz="28.346456692913385" w:color="FFFFFF"/>
                  </w:tcBorders>
                  <w:shd w:val="clear" w:fill="D0E0EF"/>
                </w:tcPr>
                <w:p>
                  <w:pPr>
                    <w:spacing w:before="0" w:after="0"/>
                  </w:pPr>
                  <w:r>
                    <w:rPr>
                      <w:rFonts w:ascii="Arial" w:hAnsi="Arial" w:eastAsia="Arial" w:cs="Arial"/>
                      <w:sz w:val="22"/>
                      <w:szCs w:val="22"/>
                      <w:b w:val="0"/>
                      <w:bCs w:val="0"/>
                    </w:rPr>
                    <w:t xml:space="preserve">Materia</w:t>
                  </w:r>
                </w:p>
              </w:tc>
              <w:tc>
                <w:tcPr>
                  <w:tcW w:w="6032.125984251969" w:type="dxa"/>
                  <w:vAlign w:val="center"/>
                  <w:tcBorders>
                    <w:top w:val="single" w:sz="28.346456692913385" w:color="FFFFFF"/>
                    <w:left w:val="single" w:sz="28.346456692913385" w:color="FFFFFF"/>
                    <w:right w:val="single" w:sz="28.346456692913385" w:color="FFFFFF"/>
                    <w:bottom w:val="single" w:sz="28.346456692913385" w:color="FFFFFF"/>
                  </w:tcBorders>
                  <w:shd w:val="clear" w:fill="DDDDDD"/>
                </w:tcPr>
                <w:p>
                  <w:pPr>
                    <w:spacing w:before="0" w:after="0"/>
                  </w:pPr>
                  <w:r>
                    <w:rPr>
                      <w:rFonts w:ascii="Arial" w:hAnsi="Arial" w:eastAsia="Arial" w:cs="Arial"/>
                      <w:sz w:val="22"/>
                      <w:szCs w:val="22"/>
                      <w:b w:val="0"/>
                      <w:bCs w:val="0"/>
                    </w:rPr>
                    <w:t xml:space="preserve">Costas, Cotizaciones de Salud, Cotizaciones del Seguro de Cesantía, Cotizaciones Previsionales, Despido injustificado, Feriado legal, Feriado proporcional, Indemnización por años de servicios, Indemnización sustitutiva de aviso previo, Prestaciones, Reajustes e intereses, Recargos</w:t>
                  </w:r>
                </w:p>
              </w:tc>
            </w:tr>
          </w:tbl>
          <w:p/>
        </w:tc>
      </w:tr>
    </w:tbl>
    <w:p>
      <w:r>
        <w:br w:type="page"/>
      </w:r>
    </w:p>
    <w:p>
      <w:pPr>
        <w:jc w:val="both"/>
      </w:pPr>
      <w:r>
        <w:rPr>
          <w:rFonts w:ascii="Arial" w:hAnsi="Arial" w:eastAsia="Arial" w:cs="Arial"/>
          <w:sz w:val="24"/>
          <w:szCs w:val="24"/>
        </w:rPr>
        <w:t xml:space="preserve">Valparaíso, veintiocho de septiembre de dos mil veintitrés.</w:t>
      </w:r>
    </w:p>
    <w:p>
      <w:pPr>
        <w:jc w:val="both"/>
      </w:pPr>
      <w:r>
        <w:rPr>
          <w:rFonts w:ascii="Arial" w:hAnsi="Arial" w:eastAsia="Arial" w:cs="Arial"/>
          <w:sz w:val="24"/>
          <w:szCs w:val="24"/>
        </w:rPr>
        <w:t xml:space="preserve">PRIMERO: Que, con fecha 13 de junio de 2022 comparece don MARCELO VERSCHAE VERSCHAE, ingeniero constructor, domiciliado en José María Escrivá de Balaguer 786, Depto. 1605, Concón, quien presenta demanda de despido injustificado y cobro de prestaciones laborales y previsionales, conforme al procedimiento de aplicación general, en contra del SERVICIO DE SALUD VIÑA DEL MAR - QUILLOTA, representado por su director subrogante, don Haroldo Faúndez Romero, o quien al efecto le subrogue o reemplace, ambos domiciliados para estos efectos en Von Schroeders 392, Viña del Mar, en virtud de las consideraciones de hecho y de los fundamentos de derecho que expone en el tenor literal que se expone a continuación:</w:t>
      </w:r>
    </w:p>
    <w:p>
      <w:pPr>
        <w:jc w:val="both"/>
      </w:pPr>
      <w:r>
        <w:rPr>
          <w:rFonts w:ascii="Arial" w:hAnsi="Arial" w:eastAsia="Arial" w:cs="Arial"/>
          <w:sz w:val="24"/>
          <w:szCs w:val="24"/>
        </w:rPr>
        <w:t xml:space="preserve">I.</w:t>
      </w:r>
    </w:p>
    <w:p>
      <w:pPr>
        <w:jc w:val="both"/>
      </w:pPr>
      <w:r>
        <w:rPr>
          <w:rFonts w:ascii="Arial" w:hAnsi="Arial" w:eastAsia="Arial" w:cs="Arial"/>
          <w:sz w:val="24"/>
          <w:szCs w:val="24"/>
        </w:rPr>
        <w:t xml:space="preserve">Resumen.</w:t>
      </w:r>
    </w:p>
    <w:p>
      <w:pPr>
        <w:jc w:val="both"/>
      </w:pPr>
      <w:r>
        <w:rPr>
          <w:rFonts w:ascii="Arial" w:hAnsi="Arial" w:eastAsia="Arial" w:cs="Arial"/>
          <w:sz w:val="24"/>
          <w:szCs w:val="24"/>
        </w:rPr>
        <w:t xml:space="preserve">Probaré la indebida regulación de mis servicios mediante contrato de prestación de servicios a honorarios, toda vez que en la especie, dada tanto la duración como la naturaleza de mis labores, debió efectuarse mediante un contrato de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w:t>
      </w:r>
    </w:p>
    <w:p>
      <w:pPr>
        <w:jc w:val="both"/>
      </w:pPr>
      <w:r>
        <w:rPr>
          <w:rFonts w:ascii="Arial" w:hAnsi="Arial" w:eastAsia="Arial" w:cs="Arial"/>
          <w:sz w:val="24"/>
          <w:szCs w:val="24"/>
        </w:rPr>
        <w:t xml:space="preserve">Fecha de ingreso, condiciones de trabajo y naturaleza de servicios prestados.</w:t>
      </w:r>
    </w:p>
    <w:p>
      <w:pPr>
        <w:jc w:val="both"/>
      </w:pPr>
      <w:r>
        <w:rPr>
          <w:rFonts w:ascii="Arial" w:hAnsi="Arial" w:eastAsia="Arial" w:cs="Arial"/>
          <w:sz w:val="24"/>
          <w:szCs w:val="24"/>
        </w:rPr>
        <w:t xml:space="preserve">Como primera cuestión, trataré mi fecha de ingreso, condiciones de trabajo y la consecuente naturaleza de los servicios prestados por mi persona para el Servicio de Salud Viña del Mar – Quillota, los que se demostrarán, se alejan de las hipótesis legales que regulan la prestación de servicios a honorarios para los Servicios de Salud, siendo a la vez de carácter subordinado y dependiente, debiendo en consecuencia regirse por el Código del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 Fecha de ingreso y término de servicios: Con fecha 6 de mayo de 2020, ingresé a prestar servicios personales y remunerados, bajo subordinación y dependencia de la demandada, lo que aconteció en virtud de contrato de prestación de servicios, de fecha 6 de mayo de 2020. Tales servicios se extendieron de forma continua, hasta el 31 de mayo de 2022, en conformidad a la notificación de no renovación de convenio de honorarios, la que se me entregó con fecha 24 de mayo de 2022, en cuya virtud se pone término a mi contrato a contar del 31 de mayo del presente año.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 Función: Se me contrató para realizar una serie de labores asociadas al control de avance de obras de infraestructura hospitalaria del Hospital Provincial Marga Marga, Hospital Biprovincial Quillota Petorca y Hospital Dr. Gustavo Fricke, comprendiendo la revisión del estado de avance de las obras, revisión de estados de pago, participación en reuniones con el equipo de Inspección Técnica y/o unidades técnicas para tratar asuntos relativos a la ejecución de obras, confección de informes, todo lo cual, en los hechos se proyectó respecto de diversos proyectos hospitalarios que se realizan en la Región de Valparaíso.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(iii) Remuneración mensual: $2.735.000 pesos, suma que se pagaba previa emisión de boletas de honorarios.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(iv) Jornada de trabajo: En la práctica, mi jornada de trabajo era de lunes a jueves de 8:30 a 17:30, y viernes de 8:30 a 16:30 horas. En tal sentido, el contrato indicaba que mi prestación de servicios debía realizarse en un “período de tiempo de 44 horas semanales”, el cual en la práctica no se cumplía, dado que usualmente trabajaba bastante más tiempo.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Tal espacio de tiempo era controlado por la parte demandada, conforme se reconoce expresamente en el contrato de prestación de servicios a honorarios N° 1283, de fecha 28 de julio de 2020, donde el párrafo final de la cláusula segunda indica expresamente que: “Se deja constancia que el cometido especificado se cumplirá de forma semanal de 44 horas semanales la que será verificada mediante los instrumentos o mecanismos que de la Dirección disponga para ello”. Al respecto, el mecanismo utilizado por la demandada consistió en un libro de Asistencia tanto entre mayo de 2020 y enero de 2021, como entre enero y mayo 2022. A su vez, entre febrero y diciembre de 2021, me desempeñé desde mi domicilio en modalidad híbrida, es decir de trabajo a distancia y presencial, aplicándose como medio de control los denominados formulario de teletrabajo, además de los propios del trabajo presencial.</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(v) Lugar de prestación de servicios: Presté servicios en dependencias del Servicio de Salud Viña del Mar-Quillota, ubicado en Von Schroeder 392 Viña del Mar. Adicionalmente, también debía concurrir al Hospital Gustavo Fricke, Hospital Provincial de Marga Marga, Hospital Biprovincial de Quillota – Petorca, consultorios en comunas de Petorca, Cabildo, Papudo, Puchuncaví, Quintero, Concón, Limache, La Calera, La Cruz, Hijuelas, Nogales y Papudo.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(vi) Jefe directo: Mi jefatura directa era el Subdirector de Desarrollo Institucional servicio de salud Viña del Mar–Quillota, don Eduardo González Brito, quién de forma diaria me impartía instrucciones de forma verbal y a través de correos electrónicos.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(vii) Otros indicios de laboralidad de mis servicios: Adicionalmente, hago presente otros indicios que demuestran el carácter subordinado y dependiente de mis servicios, cuales son los siguientes:</w:t>
      </w:r>
    </w:p>
    <w:p>
      <w:pPr>
        <w:jc w:val="both"/>
      </w:pPr>
      <w:r>
        <w:rPr>
          <w:rFonts w:ascii="Arial" w:hAnsi="Arial" w:eastAsia="Arial" w:cs="Arial"/>
          <w:sz w:val="24"/>
          <w:szCs w:val="24"/>
        </w:rPr>
        <w:t xml:space="preserve">(a) Exclusividad de mis servicios prestados para la demandada: Según consta en la numeración correlativa de las boletas que emití en el período trabajado para el Servicio de Salud.</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 Disposición de cuenta de correo electrónico corporativo de la demandada: Al efecto se me otorgó el mail marcelo.verschae@redsalud.gob.cl.</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 Reconocimiento de beneficios propios de todo trabajador dependiente: Consta en los contratos al efecto suscritos con la demandada que se me otorgaban beneficios tales como quince días hábiles de vacaciones, cuatro días hábiles para ausentarme por motivos particulares, la posibilidad de ausentarme por causa de licencias médicas, entre otros.</w:t>
      </w:r>
    </w:p>
    <w:p>
      <w:pPr>
        <w:jc w:val="both"/>
      </w:pPr>
      <w:r>
        <w:rPr>
          <w:rFonts w:ascii="Arial" w:hAnsi="Arial" w:eastAsia="Arial" w:cs="Arial"/>
          <w:sz w:val="24"/>
          <w:szCs w:val="24"/>
        </w:rPr>
        <w:t xml:space="preserve">(d) Continuidad en la prestación de servicios: Desde la fecha de ingreso, mi prestación de servicio fue totalmente continua hasta le fecha de término.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 Por último, hago presente además se disponía contractualmente la obligación de mi parte de pagar mi cotización para seguro de accidente del trabajo y enfermedades profesionales.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Como es dable apreciar, concurren en la especie la totalidad de elementos determinantes tanto por la ley como por la Dirección del Trabajo para calificar los servicios prestados como de aquellos regidos por el Código del Trabajo, toda vez que hubo servicios personales prestados bajo estricta dependencia del demandado, servicios de carácter estable y continuados en el tiempo que se prestaron cumpliendo una jornada semanal y diaria que harán procedente la declaración de existencia de vínculo jurídico laboral en los términos que se solicitará.</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 Análisis de la modalidad contractual empleada por el Servicio de Salud</w:t>
      </w:r>
    </w:p>
    <w:p>
      <w:pPr>
        <w:jc w:val="both"/>
      </w:pPr>
      <w:r>
        <w:rPr>
          <w:rFonts w:ascii="Arial" w:hAnsi="Arial" w:eastAsia="Arial" w:cs="Arial"/>
          <w:sz w:val="24"/>
          <w:szCs w:val="24"/>
        </w:rPr>
        <w:t xml:space="preserve">Hemos establecido en primer término que los servicios prestados por el demandante eran subordinados y dependientes, además de importa labores variadas y de carácter continuo que se desarrollaron continuamente por dos años.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 partir de lo anterior, ahora corresponde determinar si se ajusta a derecho la modalidad de honorarios empleada por el Servicio de Salud para encauzar los servicios prestados, cuestión que veremos, evidentemente no concurre en la especie.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En efecto, dispone el artículo 11 del D.F.L. Nº 29 del año 2004, que fija el texto refundido, coordinado y sistematizado de la Ley Nº 18.834, conocido también como el Estatuto Administrativo, que:</w:t>
      </w:r>
    </w:p>
    <w:p>
      <w:pPr>
        <w:jc w:val="both"/>
      </w:pPr>
      <w:r>
        <w:rPr>
          <w:rFonts w:ascii="Arial" w:hAnsi="Arial" w:eastAsia="Arial" w:cs="Arial"/>
          <w:sz w:val="24"/>
          <w:szCs w:val="24"/>
        </w:rPr>
        <w:t xml:space="preserve">“Podrá contratarse sobre la base de honorarios a profesionales y técnicos de educación superior o expertos en determinadas materias, cuando deban realizarse labores accidentales y que no sean las habituales de la institución, mediante resolución de la autoridad correspondiente.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Además, se podrá contratar sobre la base de honorarios, la prestación de servicios para cometidos específicos, conforme a las normas generales”. Las personas contratadas a honorarios se regirán por las reglas que establezca el respectivo contrato</w:t>
      </w:r>
    </w:p>
    <w:p>
      <w:pPr>
        <w:jc w:val="both"/>
      </w:pPr>
      <w:r>
        <w:rPr>
          <w:rFonts w:ascii="Arial" w:hAnsi="Arial" w:eastAsia="Arial" w:cs="Arial"/>
          <w:sz w:val="24"/>
          <w:szCs w:val="24"/>
        </w:rPr>
        <w:t xml:space="preserve">y no les serán aplicables las disposiciones de este Estatuto (Énfasis agregado).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Al respecto, de lo expuesto precedentemente se desprende categóricamente que el vínculo contractual habido se desarrolló fuera del marco regulatorio de la referida norma, toda vez que mi contratación no lo fue para labores accidentales ajenas a las funciones habituales del Servicio, ni menos vinculadas a un cometido específico, lo que se evidencia, entre otras cosas, por la sola extensión de los servicios. Contrario a ello, mi contratación respondió a la satisfacción de una necesidad permanente del Servicio relativa a la amplia gama de tareas y servicios propios de la institución que de manera adecuada desarrollé.</w:t>
      </w:r>
    </w:p>
    <w:p>
      <w:pPr>
        <w:jc w:val="both"/>
      </w:pPr>
      <w:r>
        <w:rPr>
          <w:rFonts w:ascii="Arial" w:hAnsi="Arial" w:eastAsia="Arial" w:cs="Arial"/>
          <w:sz w:val="24"/>
          <w:szCs w:val="24"/>
        </w:rPr>
        <w:t xml:space="preserve">Por otra parte, las labores realizadas tampoco pueden ser calificadas como cometidos específicos, toda vez que tanto en los hechos como en los diversos contratos celebrados se reflejan tareas múltiples y diversas, y en caso alguno tareas concretas y acotadas.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Así la cosas, descartando en consecuencia la procedencia jurídica del mecanismo contractual utilizado por el Servicio de Salud a mi respecto, cabe concluir la aplicación en la especie del Código del Trabajo, cuerpo normativo que constituye la regla general en materia de relaciones personales de trabajo subordinado, según se desprende del inciso penúltimo del artículo 1º del Código del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Por último, cabe señalar que el criterio señalado es el vigente en la materia, según se desprende se sentencia de fecha 1 de abril de 2015, dictada por la Excma. Corte Suprema en causa Rol Nº 11.584-2014, cuyo considerando décimo señala expresamente lo siguiente:</w:t>
      </w:r>
    </w:p>
    <w:p>
      <w:pPr>
        <w:jc w:val="both"/>
      </w:pPr>
      <w:r>
        <w:rPr>
          <w:rFonts w:ascii="Arial" w:hAnsi="Arial" w:eastAsia="Arial" w:cs="Arial"/>
          <w:sz w:val="24"/>
          <w:szCs w:val="24"/>
        </w:rPr>
        <w:t xml:space="preserve">Décimo: Que, en consecuencia, la acertada interpretación del artículo 1° del Código del Trabajo, en relación, en este caso, con el artículo 4° de la Ley N° 18.883, está dada por la vigencia de dicho Código del Trabajo para las personas naturales contratadas por la Administración del Estado, en la especie una Municipalidad, que aun habiendo suscrito sucesivos contratos de prestación de servicios a honorarios, por permitírselo el estatuto especial que regula a la entidad contratante, prestan servicios en las condiciones previstas por el Código del ramo. En otros términos, se uniforma la jurisprudencia, en el sentido que corresponde calificar como vinculaciones laborales, sometidas al Código del Trabajo, a las relaciones habidas entre una persona natural y un órgano de la Administración del Estado, en la especie, una Municipalidad, en la medida que dichas vinculaciones se desarrollen fuera del marco legal que establece –para el caso- el artículo 4° de la Ley N° 18.883, que autoriza la contratación sobre la base de honorarios ajustada a las condiciones que dicha norma describe, en la medida que las relaciones se conformen a las exigencias establecidas por el legislador laboral para los efectos de entenderlas reguladas por la codificación correspondiente.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De esta manera, mi contratación respondió a la satisfacción de necesidades permanentes del Servicio de Salud Viña del Mar - Quillota, concretadas en la amplia gama de tareas y servicios desarrollados a requerimiento de mi jefatura, dedicándome desde la fecha de mi contratación de forma exclusiva a los servicios encomendados por el demandado, lo que se evidencia en las correspondientes boletas de honorarios, libros de Asistencia, registros de Visita y formularios de teletrabajo.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Por otra parte, mis labores tampoco pueden ser calificadas como cometidos específicos, toda vez que los servicios prestados corresponden a labores de carácter continuo, por cuanto al tratarse de controlar y fiscalizar los avances efectivos de las obras, efectuar el seguimiento y control de las obras, revisar los avances de estas y los respectivos estados de pago, revisar y controlar los aumentos de obra, obras extraordinarias y disminuciones del Proyecto (notas de cambio), mantener informada a la jefatura directa sobre el estado de gestiones, realización de informes técnicos mensuales de actividades realizadas, participación en reuniones con el equipo de la Inspección Técnica y/o de la Unidad Técnica para tratar asuntos relacionados con la ejecución de las obras, informar al ITO sobre el cumplimiento y control del programa semanal y diario, observando que coincida con el programa general de la empresa constructora y confeccionar informes técnicos de obras adicionales, Informes de aumento de plazo y observaciones a las mismas, se trata de labores que son realizadas de manera continua en el tiempo, aspecto que definitivamente aleja las labores del carácter de cometidos específicos.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Así la cosas, descartando en consecuencia la procedencia jurídica del mecanismo contractual utilizado por el Servicio de Salud respecto a mi persona, cabe concluir la aplicación en la especie del Código del Trabajo, cuerpo normativo que constituye la regla general en materia de relaciones personales de trabajo subordinado, según se desprende del inciso penúltimo del artículo 1º del Código del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 Separación de funciones</w:t>
      </w:r>
    </w:p>
    <w:p>
      <w:pPr>
        <w:jc w:val="both"/>
      </w:pPr>
      <w:r>
        <w:rPr>
          <w:rFonts w:ascii="Arial" w:hAnsi="Arial" w:eastAsia="Arial" w:cs="Arial"/>
          <w:sz w:val="24"/>
          <w:szCs w:val="24"/>
        </w:rPr>
        <w:t xml:space="preserve">Con fecha 24 de mayo de 2022 según indiqué, se me entregó Notificación de no Renovación de Contrato de Honorarios que pone término a mi contrato con fecha 31 de mayo del presente año, el cual justifica la decisión en el supuesto de razones presupuestarias, cuestión que evidente y objetivamente no es efectiva, ya que, a mediados de abril se contrató un nuevo Inspector Técnico de Obras y seis Asesores para el Hospital Gustavo Fricke, lugar donde yo cumplía mis funciones.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Al respecto, la comunicación, señala expresamente:</w:t>
      </w:r>
    </w:p>
    <w:p>
      <w:pPr>
        <w:jc w:val="both"/>
      </w:pPr>
      <w:r>
        <w:rPr>
          <w:rFonts w:ascii="Arial" w:hAnsi="Arial" w:eastAsia="Arial" w:cs="Arial"/>
          <w:sz w:val="24"/>
          <w:szCs w:val="24"/>
        </w:rPr>
        <w:t xml:space="preserve">“En Viña del Mar, con fecha 29 de abril de 2022, se procede a notificar a DON MARCELO VERSCHAE VERSCHAE, R.U.N. 10.052.504-6, quien presta funciones específicas de Asesor para el Proyecto de Normalización Hospital Dr. Gustavo Fricke, en calidad de Convenio a Honorarios, informando a UD. que por razones presupuestarias no le será renovado su convenio a honorarios, concluyendo así el 31 de Mayo de 2022, terminando así el 31 de Mayo de 2022, en conformidad a la cláusula TERCERO establecida en el convenio formalizado mediante Resolución Exenta N° 2672”.</w:t>
      </w:r>
    </w:p>
    <w:p>
      <w:pPr>
        <w:jc w:val="both"/>
      </w:pPr>
      <w:r>
        <w:rPr>
          <w:rFonts w:ascii="Arial" w:hAnsi="Arial" w:eastAsia="Arial" w:cs="Arial"/>
          <w:sz w:val="24"/>
          <w:szCs w:val="24"/>
        </w:rPr>
        <w:t xml:space="preserve">Desde ya, hago presente que las labores desarrolladas por dos años no pueden ser suspendidas en atención a la naturaleza propia de la actividad del Servicio de Salud, siendo por tanto la circunstancia fáctica expuesta absolutamente alejada de la realidad.</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w:t>
      </w:r>
    </w:p>
    <w:p>
      <w:pPr>
        <w:jc w:val="both"/>
      </w:pPr>
      <w:r>
        <w:rPr>
          <w:rFonts w:ascii="Arial" w:hAnsi="Arial" w:eastAsia="Arial" w:cs="Arial"/>
          <w:sz w:val="24"/>
          <w:szCs w:val="24"/>
        </w:rPr>
        <w:t xml:space="preserve">Prestaciones adeudadas</w:t>
      </w:r>
    </w:p>
    <w:p>
      <w:pPr>
        <w:jc w:val="both"/>
      </w:pPr>
      <w:r>
        <w:rPr>
          <w:rFonts w:ascii="Arial" w:hAnsi="Arial" w:eastAsia="Arial" w:cs="Arial"/>
          <w:sz w:val="24"/>
          <w:szCs w:val="24"/>
        </w:rPr>
        <w:t xml:space="preserve">Hago presente que, al momento de mi despido, se me adeudada la cantidad de 15 días de feriado correspondientes al período 2020, 15 días de feriado correspondientes al año 2021, más el proporcional del presente año. Adicionalmente, se encuentran adeudadas la totalidad de cotizaciones de seguridad social devengadas en el período trabajado para demandada, esto es entre el 6 de mayo de 2020 y el 31 de mayo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Concluye solicitando tener por interpuesta demanda de despido injustificado y cobro de prestaciones en procedimiento de aplicación general, en contra de la Servicio de Salud Viña del Mar - Quillota, representado por su director subrogante, don Haroldo Faúndez Romero, o quién actualmente lo subrogue o reemplace, acogerla a tramitación, y declarar lo siguiente:</w:t>
      </w:r>
    </w:p>
    <w:p>
      <w:pPr>
        <w:jc w:val="both"/>
      </w:pPr>
      <w:r>
        <w:rPr>
          <w:rFonts w:ascii="Arial" w:hAnsi="Arial" w:eastAsia="Arial" w:cs="Arial"/>
          <w:sz w:val="24"/>
          <w:szCs w:val="24"/>
        </w:rPr>
        <w:t xml:space="preserve">(i) Que la naturaleza jurídica de la relación contractual habida entre mi persona y la demandada entre el 6 de mayo de 2020 y el 31 de mayo de 2022, o en el lapso de tiempo que S.S. determine, es de carácter laboral, regida por el Código del Trabajo, descartándose al efecto la aplicación del Estatuto Administrativo, o cualquiera otro.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 Que mi despido es de carácter injustificado.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(iii) Que en mérito de lo anterior, procede condenar a la demandada, al pago de las siguientes indemnizaciones y prestaciones que se indicará a continuación:</w:t>
      </w:r>
    </w:p>
    <w:p>
      <w:pPr>
        <w:jc w:val="both"/>
      </w:pPr>
      <w:r>
        <w:rPr>
          <w:rFonts w:ascii="Arial" w:hAnsi="Arial" w:eastAsia="Arial" w:cs="Arial"/>
          <w:sz w:val="24"/>
          <w:szCs w:val="24"/>
        </w:rPr>
        <w:t xml:space="preserve">1. Indemnización sustitutiva del aviso previo: $2.735.000, o la suma que S.S. disponga.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 Indemnización por años de servicio (2 años): $5.470.000, o la suma que S.S. disponga.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3. Recargo legal dispuesto en artículo 168 del Código del Trabajo por ser carente de todo motivo plausible (50%): $2.735.000, o la suma que S.S. disponga al efecto.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4. Feriado legal (30 días): $3.719.600, o la suma que S.S. disponga al efecto.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5. Feriado proporcional (1,25 días): $34.186, o la suma que S.S. disponga al efecto.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6. Pago total de cotizaciones previsionales, de salud y de cesantía correspondientes a período comprendido entre el 6 de mayo de 2020 y el 31 de mayo de 2022, o bien al que S.S. conforme al mérito de antecedentes determine.</w:t>
      </w:r>
    </w:p>
    <w:p>
      <w:pPr>
        <w:jc w:val="both"/>
      </w:pPr>
      <w:r>
        <w:rPr>
          <w:rFonts w:ascii="Arial" w:hAnsi="Arial" w:eastAsia="Arial" w:cs="Arial"/>
          <w:sz w:val="24"/>
          <w:szCs w:val="24"/>
        </w:rPr>
        <w:t xml:space="preserve">7. Reajustes e intereses legales sobre las cantidades adeudadas, en conformidad a los artículos 63 y 173 del Código del Trabajo.</w:t>
      </w:r>
    </w:p>
    <w:p>
      <w:pPr>
        <w:jc w:val="both"/>
      </w:pPr>
      <w:r>
        <w:rPr>
          <w:rFonts w:ascii="Arial" w:hAnsi="Arial" w:eastAsia="Arial" w:cs="Arial"/>
          <w:sz w:val="24"/>
          <w:szCs w:val="24"/>
        </w:rPr>
        <w:t xml:space="preserve">8. Las costas de la causa.</w:t>
      </w:r>
    </w:p>
    <w:p>
      <w:pPr>
        <w:jc w:val="both"/>
      </w:pPr>
      <w:r>
        <w:rPr>
          <w:rFonts w:ascii="Arial" w:hAnsi="Arial" w:eastAsia="Arial" w:cs="Arial"/>
          <w:sz w:val="24"/>
          <w:szCs w:val="24"/>
        </w:rPr>
        <w:t xml:space="preserve">SEGUNDO: Que, con fecha 07 de septiembre de 2022 comparece doña Sol Francesca Moya, Abogado, en representación convencional como mandataria judicial según se acreditará de SERVICIO DE SALUD VIÑA DEL MAR-QUILLOTA, RUT 61.606.600-5, persona jurídica de derecho público del giro de su denominación, representado legalmente por su Director (S) don Haroldo Enrique Faúndez Romero, Ingeniero Comercial, RUT 7.425.013-0, todos domiciliados para estos efectos en Von Schroeder, Nº 392, Viña del Mar, en autos laborales ordinarios sobre Despido Injustificado y Cobro de Prestaciones Laborales y Previsionales, caratulados ”VERSCHAE CON SERVICIO DE SALUD VIÑA DEL MAR-QUILLOTA”, RIT O-781-2022, quien contesta la demanda de Despido Injustificado y Cobro de Prestaciones Laborales y Previsionales presentada por don MARCELO ENRIQUE VERSCHAE VERSCHAE en contra de mi representado; solicitando desde ya su total rechazo, con expresa condenación en costas de la contraria, en base a las siguientes argumentaciones de hecho y de derecho que expone en el tenor literal que sigue:</w:t>
      </w:r>
    </w:p>
    <w:p>
      <w:pPr>
        <w:jc w:val="both"/>
      </w:pPr>
      <w:r>
        <w:rPr>
          <w:rFonts w:ascii="Arial" w:hAnsi="Arial" w:eastAsia="Arial" w:cs="Arial"/>
          <w:sz w:val="24"/>
          <w:szCs w:val="24"/>
        </w:rPr>
        <w:t xml:space="preserve">I. ANTECEDEDENTES DE LA DEMANDA</w:t>
      </w:r>
    </w:p>
    <w:p>
      <w:pPr>
        <w:jc w:val="both"/>
      </w:pPr>
      <w:r>
        <w:rPr>
          <w:rFonts w:ascii="Arial" w:hAnsi="Arial" w:eastAsia="Arial" w:cs="Arial"/>
          <w:sz w:val="24"/>
          <w:szCs w:val="24"/>
        </w:rPr>
        <w:t xml:space="preserve">Se ha deducido en estos autos demanda de procedimiento ordinario general de despido injustificado y cobro de prestaciones Laborales y Previsionales que indica, por parte de don MARCELOENRIQUE VERSCHAE VERSCHAE, en contra del Servicio de Salud de Viña del Mar-Quillota.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Comienza su relación de los hechos describiendo la relación de servicios por la que ingresó a trabajar en el Servicio de Salud de Viña del Mar-Quillota, indicando que ingresó a prestar servicios el día 06 de mayo de 2020, y que desde esa fecha hasta el día 31 de mayo de 2022, habría trabajado como ITO (inspector técnico de obras) de la obra Hospital Provincial Marga Marga, Hospital Biprovincial Quillota-Petorca y Hospital Dr. Gustavo Fricke de Viña del Mar, con jornada de lunes a lunes a jueves de 8:30 a 17:30, y viernes de 8:30 a 16:30 horas y una remuneración mensual de $2.735.000 pesos.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Respecto al periodo en que trabajó para mi representado, indica el demandante que trabajó bajo subordinación y dependencia de don Eduardo González Brito, Subdirector de Desarrollo Institucional del Servicio de Salud Viña del Mar -Quillota. Señala finalmente que la “relación laboral” se extiende hasta el 31 de mayo del año 2022 y que antes de la mentada fecha, esto es, el día 24 de mayo del año 2022 recibe una notificación en virtud de la cual se le comunica que no se renovará el convenio a honorarios cuya fecha de término se encontraba pactada para el 31 de mayo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 NEGATIVA DE LOS HECHOS</w:t>
      </w:r>
    </w:p>
    <w:p>
      <w:pPr>
        <w:jc w:val="both"/>
      </w:pPr>
      <w:r>
        <w:rPr>
          <w:rFonts w:ascii="Arial" w:hAnsi="Arial" w:eastAsia="Arial" w:cs="Arial"/>
          <w:sz w:val="24"/>
          <w:szCs w:val="24"/>
        </w:rPr>
        <w:t xml:space="preserve">De conformidad con lo dispuesto en el inciso 2° del artículo 452 del Código del Trabajo, esta parte niega en forma expresa todos y cada uno de los hechos que son fundamento de la demanda de autos, en especial los siguientes:</w:t>
      </w:r>
    </w:p>
    <w:p>
      <w:pPr>
        <w:jc w:val="both"/>
      </w:pPr>
      <w:r>
        <w:rPr>
          <w:rFonts w:ascii="Arial" w:hAnsi="Arial" w:eastAsia="Arial" w:cs="Arial"/>
          <w:sz w:val="24"/>
          <w:szCs w:val="24"/>
        </w:rPr>
        <w:t xml:space="preserve">· La existencia de relación laboral entre el demandante y mi representada.</w:t>
      </w:r>
    </w:p>
    <w:p>
      <w:pPr>
        <w:jc w:val="both"/>
      </w:pPr>
      <w:r>
        <w:rPr>
          <w:rFonts w:ascii="Arial" w:hAnsi="Arial" w:eastAsia="Arial" w:cs="Arial"/>
          <w:sz w:val="24"/>
          <w:szCs w:val="24"/>
        </w:rPr>
        <w:t xml:space="preserve">· La obligación de pagar cotizaciones previsionales y de salud en virtud de una relación laboral.</w:t>
      </w:r>
    </w:p>
    <w:p>
      <w:pPr>
        <w:jc w:val="both"/>
      </w:pPr>
      <w:r>
        <w:rPr>
          <w:rFonts w:ascii="Arial" w:hAnsi="Arial" w:eastAsia="Arial" w:cs="Arial"/>
          <w:sz w:val="24"/>
          <w:szCs w:val="24"/>
        </w:rPr>
        <w:t xml:space="preserve">III. EN CUANTO A LA DEMANDA DE DESPIDO INJUSTIFICADO Y COBRO DE PRESTACIONES LABORALES Y PREVISIONALES</w:t>
      </w:r>
    </w:p>
    <w:p>
      <w:pPr>
        <w:jc w:val="both"/>
      </w:pPr>
      <w:r>
        <w:rPr>
          <w:rFonts w:ascii="Arial" w:hAnsi="Arial" w:eastAsia="Arial" w:cs="Arial"/>
          <w:sz w:val="24"/>
          <w:szCs w:val="24"/>
        </w:rPr>
        <w:t xml:space="preserve">INEXISTENCIA RELACION LABORAL.</w:t>
      </w:r>
    </w:p>
    <w:p>
      <w:pPr>
        <w:jc w:val="both"/>
      </w:pPr>
      <w:r>
        <w:rPr>
          <w:rFonts w:ascii="Arial" w:hAnsi="Arial" w:eastAsia="Arial" w:cs="Arial"/>
          <w:sz w:val="24"/>
          <w:szCs w:val="24"/>
        </w:rPr>
        <w:t xml:space="preserve">1. Que, sobre la base de las facultades contempladas en el artículo 11, de la ley N° 18.834, sobre Estatuto Administrativo en donde se prevé expresamente la factibilidad de poder contratar sobre la base de honorarios a profesionales y técnicos de educación superior o expertos en determinadas materias, cuando deban realizarse labores accidentales y que no sean las habituales de la institución, mediante resolución de la autoridad correspondiente y, como asimismo, estando facultado para contratar, en cumplimiento de sus fines y funciones institucionales, descritos tanto en los artículos 16 y sgtes. del DFL Nº1/2005 del Ministerio de Salud, como en el artículo 1 del Reglamento Orgánico de los Servicios de Salud, DS Nº140/2004, -los que prioritariamente corresponden a la articulación, gestión y desarrollo de la red asistencial correspondiente para la ejecución de las acciones integradas de fomento, protección y recuperación de la salud, como también la rehabilitación y cuidados paliativos de las personas enfermas- es que en el marco de la precitada función del Servicio y a fin de darle continuidad a la función pública en resguardo de los usuarios del mismo, surgió la necesidad específica de contar con un experto que prestara determinados servicios en el proyecto “Diseño y Construcción Hospital Marga Marga, por lo que mediante Resolución Exenta N°1970 de fecha 05 de abril de 2021 se aprueba Convenio de “CONTRATO Nº635 DE PRESTACIÓN DE SERVICIOS A HONORARIOS” -el que de conformidad al artículo 11 de la Ley 18834, se regiría por las reglas que establezca el referido contrato-, celebrado con fecha 17 de marzo de 2021 entre el SERVICIO DE SALUD VIÑA DEL MAR-QUILLOTA y don MARCELO ENRIQUE VERSCHAE VERSCHAE con vigencia entre el 1 de marzo de 2021-30 de junio de 2021 en virtud del cual, se estipuló que el actor desarrollaría funciones como profesional experto, para cumplir los siguientes objetivos específicos y que fueron replicados en los Convenios Nº 1297 de 22 de junio de 2021 aprobado por Resolución Exenta Nº4659/2021 -vigente en el período del 1 de julio de 2021 al 31 de diciembre de 2021-; Nº146 de 21 de enero de 2022 aprobado por Resolución Exenta Nº1045/2022 -vigente en el período del 1 de enero de 2022 al 31 de marzo de 2022-, y Nº403 de 30 de marzo de 2022 aprobado por Resolución Exenta Nº2672/2022 -vigente en el período del 1 de abril de 2022 al 31 de mayo de 2022- que luego se celebraron entre las mismas partes:</w:t>
      </w:r>
    </w:p>
    <w:p>
      <w:pPr>
        <w:jc w:val="both"/>
      </w:pPr>
      <w:r>
        <w:rPr>
          <w:rFonts w:ascii="Arial" w:hAnsi="Arial" w:eastAsia="Arial" w:cs="Arial"/>
          <w:sz w:val="24"/>
          <w:szCs w:val="24"/>
        </w:rPr>
        <w:t xml:space="preserve">a) Controlar y fiscalizar el avance efectivo de la obra.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 Encargado del seguimiento y control del programa de la obra</w:t>
      </w:r>
    </w:p>
    <w:p>
      <w:pPr>
        <w:jc w:val="both"/>
      </w:pPr>
      <w:r>
        <w:rPr>
          <w:rFonts w:ascii="Arial" w:hAnsi="Arial" w:eastAsia="Arial" w:cs="Arial"/>
          <w:sz w:val="24"/>
          <w:szCs w:val="24"/>
        </w:rPr>
        <w:t xml:space="preserve">c) Revisar avances y documentación de estados de pago</w:t>
      </w:r>
    </w:p>
    <w:p>
      <w:pPr>
        <w:jc w:val="both"/>
      </w:pPr>
      <w:r>
        <w:rPr>
          <w:rFonts w:ascii="Arial" w:hAnsi="Arial" w:eastAsia="Arial" w:cs="Arial"/>
          <w:sz w:val="24"/>
          <w:szCs w:val="24"/>
        </w:rPr>
        <w:t xml:space="preserve">d) Revisar información de avances semanal y mensual de la obra</w:t>
      </w:r>
    </w:p>
    <w:p>
      <w:pPr>
        <w:jc w:val="both"/>
      </w:pPr>
      <w:r>
        <w:rPr>
          <w:rFonts w:ascii="Arial" w:hAnsi="Arial" w:eastAsia="Arial" w:cs="Arial"/>
          <w:sz w:val="24"/>
          <w:szCs w:val="24"/>
        </w:rPr>
        <w:t xml:space="preserve">d) Mantener informado a su superior inmediato sobre las gestiones realizadas periódicamente</w:t>
      </w:r>
    </w:p>
    <w:p>
      <w:pPr>
        <w:jc w:val="both"/>
      </w:pPr>
      <w:r>
        <w:rPr>
          <w:rFonts w:ascii="Arial" w:hAnsi="Arial" w:eastAsia="Arial" w:cs="Arial"/>
          <w:sz w:val="24"/>
          <w:szCs w:val="24"/>
        </w:rPr>
        <w:t xml:space="preserve">e) Elaborar informes técnicos mensuales de actividades realizadas</w:t>
      </w:r>
    </w:p>
    <w:p>
      <w:pPr>
        <w:jc w:val="both"/>
      </w:pPr>
      <w:r>
        <w:rPr>
          <w:rFonts w:ascii="Arial" w:hAnsi="Arial" w:eastAsia="Arial" w:cs="Arial"/>
          <w:sz w:val="24"/>
          <w:szCs w:val="24"/>
        </w:rPr>
        <w:t xml:space="preserve">f) Participar en reuniones con el equipo de la Inspección Técnica y/o de la Unidad Técnica para tratar asuntos relacionados con la ejecución de las obras</w:t>
      </w:r>
    </w:p>
    <w:p>
      <w:pPr>
        <w:jc w:val="both"/>
      </w:pPr>
      <w:r>
        <w:rPr>
          <w:rFonts w:ascii="Arial" w:hAnsi="Arial" w:eastAsia="Arial" w:cs="Arial"/>
          <w:sz w:val="24"/>
          <w:szCs w:val="24"/>
        </w:rPr>
        <w:t xml:space="preserve">g) Informar al ITO sobre el cumplimiento y control del programa semanal y diario que coincida con el programa general de la empresa constructora</w:t>
      </w:r>
    </w:p>
    <w:p>
      <w:pPr>
        <w:jc w:val="both"/>
      </w:pPr>
      <w:r>
        <w:rPr>
          <w:rFonts w:ascii="Arial" w:hAnsi="Arial" w:eastAsia="Arial" w:cs="Arial"/>
          <w:sz w:val="24"/>
          <w:szCs w:val="24"/>
        </w:rPr>
        <w:t xml:space="preserve">h) Confección de informes técnicos de obras adicionales, informes de aumento de plazo y observaciones a las mismas.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 La contratación se realiza en conformidad a lo dispuesto en el artículo 11 del Estatuto administrativo que señala que se podrá contratar sobre la base de honorarios a profesionales y técnicos de educación superior o expertos en determinadas materias, cuando deban realizarse labores accidentales y que no sean las habituales de la institución, mediante resolución de la autoridad correspondiente. Señala el inciso segundo que, además, se podrá contratar sobre la base de honorarios, la prestación de servicios específicos, conforme a las normas específicas.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3. En el caso de análisis se determinó la contratación del demandante a través de una resolución fundada, que serán acompañadas en la audiencia respectiva, se le contrata por una asesoría que solo puede prestar un profesional de sus competencias, y para un cometido específico a ejecutarse en el Hospital Dr. Gustavo Fricke y en el Hospital Biprovincial de Quillota-Petorca, esto se determinó por escrito en los convenios y se constatará en la audiencia de juicio a través de la prueba que se rendirá por mi parte, que dicha labor es la que cumplió el demandante, se probará además que el cometido fue específico y que se encargó solo hasta el tiempo que fue necesario, y que forma parte de la Facultad de mi representado mantener dicha contratación hasta que el servicio sea requerido o bien hasta que sea necesario el reemplazo del referido profesional por razones de eficacia en el cumplimiento de estas.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4. Que tal como hemos sostenido constantemente en nuestra defensa ante demandas de esta índole, la función de mi representado se encuentra establecida en la ley 19.937 sobre autoridad sanitaria y en el Reglamento de los Servicio de Salud (D140 de 2004) y consiste en la articulación, gestión y desarrollo de la red asistencial, correspondiente para la ejecución de las acciones integradas de fomento, protección y recuperación de la salud, como también la rehabilitación y cuidados paliativos de las personas enfermas.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5. De modo tal que la obra de Normalización del Hospital Dr. Gustavo Fricke de Viña del Mar y del Biprovincial Quillota-Petorca, no es una labor habitual que debamos desarrollar como Servicio de Salud.</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6. Es necesario aclarar que mi representado es un Servicio Público, y no tiene la capacidad de acción de un privado, como Órgano de la Administración del Estado se encuentra sometido al principio de legalidad, y más específicamente en este caso, con la legalidad competencial y legalidad presupuestaria, que determina que los órganos de la administración del estado no pueden contratar personal bajo las normas del Código del Trabajo, a menos que la ley los autorice expresamente, y dentro de dicho ámbito de actuación, mi representado contrató los servicios del actor a través de contratos de prestación de servicios, debido a que esa fue la forma de contratación autorizada por presupuesto. En efecto actúa dentro del ámbito de sus competencias en virtud de lo dispuesto en el artículo 4° inciso segundo y artículo 9° inciso 3° del D.L. 1263 sobre administración financiera del Estado; en relación con el artículo 1 de las leyes de presupuestos para los años respectivos, en la partida y glosa correspondiente.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7. Habiendo acreditado que la relación de mi representado con el demandante sí se ajustó en la realidad a los requisitos impuestos por el artículo 11 de la Ley 18.834, solo queda sostener que el demandante ha mantenido con mi representado una relación de prestación de servicios a honorarios, con sujeción, en primer lugar a las cláusulas que constan en el contrato de prestación de servicios a honorarios que serán acompañados en la etapa procesal correspondiente, en segundo lugar y en todo lo no previsto por el contrato anteriormente señalado, regirá lo dispuesto en el artículo 5° de la Ley 18.896 del Ministerio de Hacienda, que establece normas sobre administración presupuestaria y de personal y en subsidio de la normativa anterior, se regirá por lo dispuesto en el párrafo noveno del título XXVI, Libro IV del Código Civil, artículos 2006 a 2012 inclusive, denominado “Arrendamiento de servicios inmateriales.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8. Que, así lo ha entendido la Excelentísima Corte Suprema de Justicia que sin desconocer el régimen de contratación autorizado por el artículo 11 de la Ley 18.834, reconoce relación laboral en el evento de que se acredite en primer lugar que la contratación se realiza al margen del artículo 11 y además se acredita el vínculo de subordinación y dependencia propio de la relación laboral. Así se puede observar que los considerando octavo, noveno y décimo de la sentencia dictada por la Excelentísima Corte Suprema de Justicia en causa ROL 11584-2014, el máximo Tribunal reconoce la competencia de los tribunales laborales de justicia para pronunciarse acerca de los derechos de los trabajadores una vez que se acredite una relación laboral de dependencia y subordinación, solo en el caso de que se acredite la inexistencia de los supuestos del artículo 4 de la Ley 18.883 (símil al artículo 11 de la Ley 18.834), de la forma que sigue (el destacado y cursiva son nuestros) “Octavo: Que, en el reproducido artículo 1° del Código del Trabajo, se consignan, además de la ya referida premisa general, una excepción y una contra excepción. En efecto, la excepción a la aplicación del Código del Trabajo la constituyen los funcionarios de la Administración del Estado, centralizada y descentralizada, del Congreso Nacional y del Poder Judicial, los trabajadores de las empresas o instituciones del Estado o de aquéllas en que tenga aportes, participación o representación, pero esta situación excepcional tiene cabida únicamente en el evento que dichos funcionarios o trabajadores se encuentren sometidos por ley a un estatuto especial. Por su parte, la contra excepción se formula abarcando a todos los trabajadores de las entidades señaladas, a quienes se vuelve a la regencia del Código del Trabajo, sólo en los aspectos o materias no regulados en sus respectivos estatutos, siempre que ellas no fueren contrarias a estos últimos. En otros términos, se someten al Código del Trabajo y leyes complementarias los funcionarios de la Administración del Estado que no se encuentren sometidos por ley a un estatuto especial y, aun contando con dicho estatuto, si éste no regula el aspecto o materia de que se trate; en este último caso, en el evento que no se oponga a su marco jurídico.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Noveno: Que, por consiguiente, si se trata de una persona natural que no se encuentra sometida a estatuto especial, sea porque no ingresó a prestar servicios en la forma que dicha normativa especial prevé, o porque tampoco lo hizo en las condiciones que esa normativa establece –planta, contrata, suplente-, lo que en la especie acontece, inconcuso resulta que la disyuntiva se orienta hacia la aplicación del Código del Trabajo o del Código Civil, conclusión que deriva de que en el caso se invoca el artículo 4° de la Ley N° 18.883, norma que, sustrayéndose del marco jurídico estatutario que establece para los funcionarios que regula, permite contratar sobre la base de honorarios en las condiciones que allí se describen y que se consignaron en el fundamento quinto, las que, en general, se asimilan al arrendamiento de servicios personales regulado en el Código Civil y que, ausentes, excluyen de su ámbito las vinculaciones pertinentes, correspondiendo subsumirlas en la normativa del Código del Trabajo, en el evento que se presenten los rasgos característicos de este tipo de relaciones –prestación de servicios personales, bajo subordinación y dependencia y a cambio de una remuneración, según ya se dijo-, no sólo porque la vigencia del Código del Trabajo constituye la regla general en el campo de las relaciones personales, sino porque no es dable admitir la informalidad laboral y suponer que por tratarse de un órgano del Estado, que debe someterse al principio de la juridicidad, recogido en los artículos 6 y 7 de la Constitución Política de la República, puede invocar esa legalidad para propiciar dicha precariedad e informalidad laboral, la que por lo demás se encuentra proscrita en un Estado de Derecho.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Décimo: Que, en consecuencia, la acertada interpretación del artículo 1° del Código del Trabajo, en relación, en este caso, con el artículo 4° de la Ley N° 18.883, está dada por la vigencia de dicho Código del Trabajo para las personas naturales contratadas por la Administración del Estado, en la especie una Municipalidad, que aun habiendo suscrito sucesivos contratos de prestación de servicios a honorarios, por permitírselo el estatuto especial que regula a la entidad contratante, prestan servicios en las condiciones previstas por el Código del ramo. En otros términos, se uniforma la jurisprudencia, en el sentido que corresponde calificar como vinculaciones laborales, sometidas al Código del Trabajo, a las relaciones habidas entre una persona natural y un órgano de la Administración del Estado, en la especie, una Municipalidad, en la medida que dichas vinculaciones se desarrollen fuera del marco legal que establece –para el caso- el artículo 4° de la Ley N° 18.883, que autoriza la contratación sobre la base de honorarios ajustada a las condiciones que dicha norma describe, en la medida que las relaciones se conformen a las exigencias establecidas por el legislador laboral para los efectos de entenderlas reguladas por la codificación correspondiente”.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9. Por lo tanto, forzoso resulta concluir que la relación entre mi representado y el demandante es civil, y amparada por un contrato de honorarios, que se encuentra autorizada por el Estatuto Administrativo en su artículo 11 inciso segundo y tercero que dispone “además, se podrá contratar sobre la base de honorarios, la prestación de servicios para cometidos específicos, conforme a las normas generales. Las personas contratadas a honorarios se regirán por las reglas que establezca el respectivo contrato y no les serán aplicables las disposiciones de este Estatuto”.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10. Ahora bien, al margen de lo señalado acerca de la sujeción a los presupuestos del artículo 11 del Estatuto Administrativo, no se advierte en la supuesta relación laboral, indicios de laboralidad, en atención a que, a pesar de lo afirmado en la demanda, no acompaña antecedentes que logren acreditar que el demandante cumplía con instrucciones para desempeñar su trabajo, el demandante no cumplía con jornada laboral, por el contrario la cláusula segunda del convenio de honorarios suscrito aclara que se deja constancia que el experto contratado no estará sujeto al cumplimiento de una jornada de trabajo y qué concurrirá diariamente a sus funciones si de la naturaleza de sus servicios se deriva que la concurrencia es necesaria todos los días o que tales servicios deben ejecutarse en la dependencia que el servicio determine, de lo anterior puede dar cuenta la inexistencia de libro de asistencia.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11. Y finalmente, en cuanto al pago por sus servicios, acordado en los respectivos contratos de honorarios, sostenemos que aunque se pagó en cuotas mensuales, no constituye remuneración, debido a que;</w:t>
      </w:r>
    </w:p>
    <w:p>
      <w:pPr>
        <w:jc w:val="both"/>
      </w:pPr>
      <w:r>
        <w:rPr>
          <w:rFonts w:ascii="Arial" w:hAnsi="Arial" w:eastAsia="Arial" w:cs="Arial"/>
          <w:sz w:val="24"/>
          <w:szCs w:val="24"/>
        </w:rPr>
        <w:t xml:space="preserve">a) No se pagaba a todo evento, el requisito para el pago era la emisión de una boleta de honorarios por parte del profesional y la entrega de un informe de cumplimiento de las labores, visado por la persona designada en contrato.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 Porque los honorarios pagados nunca se supeditaron al cumplimiento de una jornada laboral, en efecto, el demandante no cumplía con horario de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 Porque es el demandante, como trabajador independiente quien tiene la obligación de declarar sus ingresos y elegir la forma del pago de sus cotizaciones en fondos de pensiones, salud y accidente de trabajo, en un procedimiento regulado en el D.L. 3500, que involucra la participación del SII, que debe calcular la base imponible del trabajador independiente e informar a la Tesorería General de la República para que entere las cotizaciones en los organismos que procedan en el evento de que el trabajador elija aquellos o no opte por elegir, según el sistema regulado en los artículos 89 a 92 del D.L. 3500. En este sentido, la Contraloría General de la República, ha instruido en dictamen 33643/2019, que el servicio contratante no debe intervenir en el proceso, por lo que resulta innecesario que requiera cualquier tipo de comprobación o acreditación del pago de las cotizaciones previsionales por parte de los servidores a honorarios como obligación en sus respectivos contratos de honorarios, este hecho no debe desconocerse en el evento de que se acoja la demanda de autos, debido a que, de acuerdo al sistema antes señalado, mi representado ha cumplido con la obligación legal de retención del 10% de sus honorarios, dinero que el SII debe remitir a la Tesorería General de la República para que lo destine al pago de las cotizaciones previsionales del demandante.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EN CUANTO A LA SANCIÓN POR NULIDAD DE DESPIDO.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Dicha sanción no procede, en primer lugar, porque negamos la relación laboral alegada, y en el evento de que se acoja la demanda, por los siguientes argumentos:</w:t>
      </w:r>
    </w:p>
    <w:p>
      <w:pPr>
        <w:jc w:val="both"/>
      </w:pPr>
      <w:r>
        <w:rPr>
          <w:rFonts w:ascii="Arial" w:hAnsi="Arial" w:eastAsia="Arial" w:cs="Arial"/>
          <w:sz w:val="24"/>
          <w:szCs w:val="24"/>
        </w:rPr>
        <w:t xml:space="preserve">a) Porque no existe deuda por pago de cotizaciones previsionales y de salud; estimamos que en el improbable evento de que se acoja la declaración de relación laboral, tener en consideración la especial situación en cuanto a la declaración y pago de las cotizaciones previsionales y de salud regulada para los trabajadores independientes en los artículos 89 a 92 del D.L. 3500, en virtud de esta normativa, es el demandante, como trabajador independiente, quien tiene la obligación del pago de sus cotizaciones previsionales, la ley ha establecido un mecanismo de determinación y pago de estas cotizaciones en las que el contratante, en este caso mi representado, no tiene participación alguna, no obstante lo anterior, si hemos asumido un rol en este proceso, debido a que como órganos de la administración del estado, en conformidad a lo dispuesto por el artículo 7 de la Constitución Política de la República. debemos actuar válidamente dentro de nuestra competencia y en la forma que prescribe la ley, y la ley establece que debemos retener y pagar al Servicio de Impuestos Internos (SII), el 10% de los honorarios de quienes presenten servicios en nuestro favor, en atención a lo anterior, y tal como lo acreditaremos en la etapa procesal correspondiente, hemos retenido y pagado el 10% de los honorarios de don MARCELO VERSCHAE VERSCHAE en todo el tiempo que éste ha prestado servicios, y conforme al procedimiento regulado en los artículos 89 a 92 del D.L. 3.500, es esta suma la que debe destinar la Tesorería General de la República para pagar a la administradora de fondos de pensiones, Isapre o Fonasa, las cotizaciones previsionales y de salud de los trabajadores, conforme al monto que determine el SII. En consecuencia, en atención a que hemos cumplido fielmente con la obligación impuesta por la ley, y que gracias a ésta conducta hemos proveído de fondos para el pago de las cotizaciones previsionales y de salud del demandante, no corresponde entonces que se declare la sanción de nulidad del despido en atención a que no existe deuda por este concepto, que mi representado actuó conforme al imperativo legal imperante en el periodo que el actor prestó servicios a beneficio de mi representado, que antes de la dictación de una sentencia judicial que declare la relación laboral, mi representado no tiene otro margen de acción, y finalmente, porque la sanción del artículo 162 del Código del Trabajo constituye un castigo al empleador que, reteniendo los fondos que corresponde pagar a las instituciones de seguridad social, desvía su pago, en perjuicio del trabajador, y todas estas hipótesis no han estado presente en el actuar de mi representado.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 Improcedencia de la Sanción del artículo 162 del Código del Trabajo a órganos de la administración del estado; asimismo, en el evento de desechar el argumento antes planteado para rechazar la sanción, solicito tener presente la jurisprudencia de nuestra Excelentísima Corte Suprema de Justicia, en fallo de 12 de junio de 2018, en causa ROL N°42.636-2016, en el cual, realizando un análisis de la sanción contemplada en el inciso 7° del artículo 162 del Código del Trabajo, y la procedencia de su aplicación a Órganos del Estado, como el nuestro, razonando que: “no obstante sostenerse la procedencia de la punición que contempla el inciso séptimo del artículo 162 del Código del Trabajo cuando es la sentencia de grado la que reconoce la existencia de la relación laboral, atendida su evidente naturaleza declarativa, que lleva a concluir que la obligación de enterar las cotizaciones previsionales se encuentra vigente desde que comenzaron a pagarse las remuneraciones, esto es, desde la data en que las partes iniciaron realmente la relación laboral, en el caso específico en el que el demandado corresponde a un organismo público que se vinculó con el trabajador afincado a una relación estatutaria, esta corte modificó su postura, pues, tratándose en su origen, de contratos a honorarios celebrados por órganos de la administración del estado- entendida en los términos del artículo 1° de la Ley 18.575 – concurre un elemento que autoriza a diferenciar la aplicación de la referida institución, cual es, que fueron suscritos al amparo de un estatuto legal determinado, que, en principio, les otorgaba una presunción de legalidad, lo que permite entender que no se encuentran típicamente en la hipótesis para la que se previó la figura de nulidad del despido. Por otro lado la aplicación en estos casos de la sanción de referencia se desnaturaliza, por cuanto los Órganos del Estado no cuentan con la capacidad de convalidar libremente el despido en la oportunidad que estimen del caso, desde que, para ello, requieren por regla general, de un pronunciamiento judicial condenatorio, lo que grava en forma desigual al ente público, convirtiéndolo en una alternativa indemnizatoria adicional para el trabajador, que incluso puede llegar a sustituir las indemnizaciones propias del despido”.</w:t>
      </w:r>
    </w:p>
    <w:p>
      <w:pPr>
        <w:jc w:val="both"/>
      </w:pPr>
      <w:r>
        <w:rPr>
          <w:rFonts w:ascii="Arial" w:hAnsi="Arial" w:eastAsia="Arial" w:cs="Arial"/>
          <w:sz w:val="24"/>
          <w:szCs w:val="24"/>
        </w:rPr>
        <w:t xml:space="preserve">IMPROCEDENCIA DEL PAGO DE LA INDEMNIZACION SUSTITUTIVA DEL AVISO PREVIO.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Ello en atención a que el supuesto término de la relación laboral no se produce por despido, sino que por término del plazo acordado por las partes, cuestión que se encuentra regulado en el artículo 159 N°4 del Código del Trabajo, cuestión que, para dar certeza a las partes, fue refrendada por notificación de fecha 16 de diciembre de 2021 entregada al actor.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Y por tanto: esta parte viene en solicitar a SS. que la demanda de marras sea desestimada, y que en consecuencia, se rechace el pago de las indemnizaciones y prestaciones que se han solicitado a su amparo.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Concluye solicitando se sirva tener por contestada la demanda de autos, y en definitiva, rechazar de forma íntegra la acción intentada por el actor de Despido Injustificado y Cobro de Prestaciones Laborales y Previsionales respecto de mi mandante SERVICIO DE SALUD VIÑA DEL MAR-QUILLOTA, con expresa condenación en costas, por no ser efectivos los fundamentos de su demanda y por los argumentos expuestos en lo principal de esta presentación.</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TERCERO: Que, con fecha 12 de diciembre de 2022, se llevó a efecto en la actual causa Audiencia Preparatoria, a la que comparecen la parte demandante y la demandada; se llama a las partes a conciliación, la que se tiene por frustrada; acto seguido se fijaron hechos a probar; se ofreció prueba por la demandante, la demandada; y se fijó en definitiva fecha de Audiencia de Juicio.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CUARTO: Que, en Audiencia Preparatoria ya referida, se fijaron como hechos a probar los siguientes:</w:t>
      </w:r>
    </w:p>
    <w:p>
      <w:pPr>
        <w:jc w:val="both"/>
      </w:pPr>
      <w:r>
        <w:rPr>
          <w:rFonts w:ascii="Arial" w:hAnsi="Arial" w:eastAsia="Arial" w:cs="Arial"/>
          <w:sz w:val="24"/>
          <w:szCs w:val="24"/>
        </w:rPr>
        <w:t xml:space="preserve">1.</w:t>
      </w:r>
    </w:p>
    <w:p>
      <w:pPr>
        <w:jc w:val="both"/>
      </w:pPr>
      <w:r>
        <w:rPr>
          <w:rFonts w:ascii="Arial" w:hAnsi="Arial" w:eastAsia="Arial" w:cs="Arial"/>
          <w:sz w:val="24"/>
          <w:szCs w:val="24"/>
        </w:rPr>
        <w:t xml:space="preserve">Hechos y circunstancias que el determinen que el actor mientras se desempeñó para el Servicio de Salud demandado, lo hizo bajo el distintivo vínculo de subordinación y dependencia.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w:t>
      </w:r>
    </w:p>
    <w:p>
      <w:pPr>
        <w:jc w:val="both"/>
      </w:pPr>
      <w:r>
        <w:rPr>
          <w:rFonts w:ascii="Arial" w:hAnsi="Arial" w:eastAsia="Arial" w:cs="Arial"/>
          <w:sz w:val="24"/>
          <w:szCs w:val="24"/>
        </w:rPr>
        <w:t xml:space="preserve">Contraprestación dineraria percibida por el actor por los servicios prestados durante todo el periodo que prestó servicios.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3.</w:t>
      </w:r>
    </w:p>
    <w:p>
      <w:pPr>
        <w:jc w:val="both"/>
      </w:pPr>
      <w:r>
        <w:rPr>
          <w:rFonts w:ascii="Arial" w:hAnsi="Arial" w:eastAsia="Arial" w:cs="Arial"/>
          <w:sz w:val="24"/>
          <w:szCs w:val="24"/>
        </w:rPr>
        <w:t xml:space="preserve">Si al tiempo en que concluyeron los servicios del actor para la demandada, este tenía a su haber días imputables a feriado, número de días pendientes.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QUINTO: Que, en Audiencia de Juicio, a la que comparecen ambas partes, se procede a la rendición de la siguiente prueba:</w:t>
      </w:r>
    </w:p>
    <w:p>
      <w:pPr>
        <w:jc w:val="both"/>
      </w:pPr>
      <w:r>
        <w:rPr>
          <w:rFonts w:ascii="Arial" w:hAnsi="Arial" w:eastAsia="Arial" w:cs="Arial"/>
          <w:sz w:val="24"/>
          <w:szCs w:val="24"/>
        </w:rPr>
        <w:t xml:space="preserve">PARTE DEMANDANTE.-</w:t>
      </w:r>
    </w:p>
    <w:p>
      <w:pPr>
        <w:jc w:val="both"/>
      </w:pPr>
      <w:r>
        <w:rPr>
          <w:rFonts w:ascii="Arial" w:hAnsi="Arial" w:eastAsia="Arial" w:cs="Arial"/>
          <w:sz w:val="24"/>
          <w:szCs w:val="24"/>
        </w:rPr>
        <w:t xml:space="preserve">a)</w:t>
      </w:r>
    </w:p>
    <w:p>
      <w:pPr>
        <w:jc w:val="both"/>
      </w:pPr>
      <w:r>
        <w:rPr>
          <w:rFonts w:ascii="Arial" w:hAnsi="Arial" w:eastAsia="Arial" w:cs="Arial"/>
          <w:sz w:val="24"/>
          <w:szCs w:val="24"/>
        </w:rPr>
        <w:t xml:space="preserve">Prueba Documental:</w:t>
      </w:r>
    </w:p>
    <w:p>
      <w:pPr>
        <w:jc w:val="both"/>
      </w:pPr>
      <w:r>
        <w:rPr>
          <w:rFonts w:ascii="Arial" w:hAnsi="Arial" w:eastAsia="Arial" w:cs="Arial"/>
          <w:sz w:val="24"/>
          <w:szCs w:val="24"/>
        </w:rPr>
        <w:t xml:space="preserve">1.</w:t>
      </w:r>
    </w:p>
    <w:p>
      <w:pPr>
        <w:jc w:val="both"/>
      </w:pPr>
      <w:r>
        <w:rPr>
          <w:rFonts w:ascii="Arial" w:hAnsi="Arial" w:eastAsia="Arial" w:cs="Arial"/>
          <w:sz w:val="24"/>
          <w:szCs w:val="24"/>
        </w:rPr>
        <w:t xml:space="preserve">Set de 7 contratos de prestación de servicios honorarios celebrados entre demandante y Servicio de Salud Viña del Mar Quillota entre el 1 de mayo de 2020 y el 31 de mayo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w:t>
      </w:r>
    </w:p>
    <w:p>
      <w:pPr>
        <w:jc w:val="both"/>
      </w:pPr>
      <w:r>
        <w:rPr>
          <w:rFonts w:ascii="Arial" w:hAnsi="Arial" w:eastAsia="Arial" w:cs="Arial"/>
          <w:sz w:val="24"/>
          <w:szCs w:val="24"/>
        </w:rPr>
        <w:t xml:space="preserve">Set de 24 boletas de honorarios emitidas por el actor entre mayo de 2020 y abril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3.</w:t>
      </w:r>
    </w:p>
    <w:p>
      <w:pPr>
        <w:jc w:val="both"/>
      </w:pPr>
      <w:r>
        <w:rPr>
          <w:rFonts w:ascii="Arial" w:hAnsi="Arial" w:eastAsia="Arial" w:cs="Arial"/>
          <w:sz w:val="24"/>
          <w:szCs w:val="24"/>
        </w:rPr>
        <w:t xml:space="preserve">Set de 24 informes de cumplimiento de actividades y/o productos emitidos por el actor entre mayo de 2020 y abril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4.</w:t>
      </w:r>
    </w:p>
    <w:p>
      <w:pPr>
        <w:jc w:val="both"/>
      </w:pPr>
      <w:r>
        <w:rPr>
          <w:rFonts w:ascii="Arial" w:hAnsi="Arial" w:eastAsia="Arial" w:cs="Arial"/>
          <w:sz w:val="24"/>
          <w:szCs w:val="24"/>
        </w:rPr>
        <w:t xml:space="preserve">Set de 12 informes de registro de visitas efectuadas por el actor en cumplimiento de sus funciones desde enero a diciembre de 2021.</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5.</w:t>
      </w:r>
    </w:p>
    <w:p>
      <w:pPr>
        <w:jc w:val="both"/>
      </w:pPr>
      <w:r>
        <w:rPr>
          <w:rFonts w:ascii="Arial" w:hAnsi="Arial" w:eastAsia="Arial" w:cs="Arial"/>
          <w:sz w:val="24"/>
          <w:szCs w:val="24"/>
        </w:rPr>
        <w:t xml:space="preserve">Set de 8 informes programación de actividades en periodo de teletrabajo o funciones mixtas entre marzo y octubre de 2021.</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6.</w:t>
      </w:r>
    </w:p>
    <w:p>
      <w:pPr>
        <w:jc w:val="both"/>
      </w:pPr>
      <w:r>
        <w:rPr>
          <w:rFonts w:ascii="Arial" w:hAnsi="Arial" w:eastAsia="Arial" w:cs="Arial"/>
          <w:sz w:val="24"/>
          <w:szCs w:val="24"/>
        </w:rPr>
        <w:t xml:space="preserve">Set de 57 correos electrónicos dirigidos a la casilla institucional del actor donde constan instrucciones impartidas a este en el desempeño de sus funciones, entre el 8 de febrero de 2021 y el 5 de abril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7.</w:t>
      </w:r>
    </w:p>
    <w:p>
      <w:pPr>
        <w:jc w:val="both"/>
      </w:pPr>
      <w:r>
        <w:rPr>
          <w:rFonts w:ascii="Arial" w:hAnsi="Arial" w:eastAsia="Arial" w:cs="Arial"/>
          <w:sz w:val="24"/>
          <w:szCs w:val="24"/>
        </w:rPr>
        <w:t xml:space="preserve">Set de 20 fotografías que demuestran las funciones y actividades del actor.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8.</w:t>
      </w:r>
    </w:p>
    <w:p>
      <w:pPr>
        <w:jc w:val="both"/>
      </w:pPr>
      <w:r>
        <w:rPr>
          <w:rFonts w:ascii="Arial" w:hAnsi="Arial" w:eastAsia="Arial" w:cs="Arial"/>
          <w:sz w:val="24"/>
          <w:szCs w:val="24"/>
        </w:rPr>
        <w:t xml:space="preserve">Notificación de no renovación de convenio a honorarios, de fecha 29 de abril de 2022, entregado al actor con fecha 24 de abril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w:t>
      </w:r>
    </w:p>
    <w:p>
      <w:pPr>
        <w:jc w:val="both"/>
      </w:pPr>
      <w:r>
        <w:rPr>
          <w:rFonts w:ascii="Arial" w:hAnsi="Arial" w:eastAsia="Arial" w:cs="Arial"/>
          <w:sz w:val="24"/>
          <w:szCs w:val="24"/>
        </w:rPr>
        <w:t xml:space="preserve">Prueba Confesional:</w:t>
      </w:r>
    </w:p>
    <w:p>
      <w:pPr>
        <w:jc w:val="both"/>
      </w:pPr>
      <w:r>
        <w:rPr>
          <w:rFonts w:ascii="Arial" w:hAnsi="Arial" w:eastAsia="Arial" w:cs="Arial"/>
          <w:sz w:val="24"/>
          <w:szCs w:val="24"/>
        </w:rPr>
        <w:t xml:space="preserve">Solicita se cite a absolver posiciones a la audiencia de juicio a don Haroldo Faúndez Romero, en representación de la demandada, bajo el apercibimiento legal dispuesto en el artículo 454 numeral 3 del Código del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Se desiste.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 Prueba Testimonial:</w:t>
      </w:r>
    </w:p>
    <w:p>
      <w:pPr>
        <w:jc w:val="both"/>
      </w:pPr>
      <w:r>
        <w:rPr>
          <w:rFonts w:ascii="Arial" w:hAnsi="Arial" w:eastAsia="Arial" w:cs="Arial"/>
          <w:sz w:val="24"/>
          <w:szCs w:val="24"/>
        </w:rPr>
        <w:t xml:space="preserve">1.</w:t>
      </w:r>
    </w:p>
    <w:p>
      <w:pPr>
        <w:jc w:val="both"/>
      </w:pPr>
      <w:r>
        <w:rPr>
          <w:rFonts w:ascii="Arial" w:hAnsi="Arial" w:eastAsia="Arial" w:cs="Arial"/>
          <w:sz w:val="24"/>
          <w:szCs w:val="24"/>
        </w:rPr>
        <w:t xml:space="preserve">MARCELO ALEJANDRO OCARANZA ESCOBAR, cédula de identidad N°. 9.014.279-0. Ingeniero Comercial. Domiciliado en Santiago Watts 80, Villa Agua Santa, Viña del Mar.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Interrogado por la demandante señala que es ingeniero comercial, conoce a Marcelo Verschae, en el periodo de agosto de 2021 a mayo de 2022, presta asesoría a la Dirección de Desarrollo Institucional del Servicio de Salud, como asesor externo en una asesoría del Hospital Gustavo Fricke. El Sr. Vershae se reunía periódicamente en la oficina de la Subdirección y daba cuenta de distintos avances de la obra, los que exponía ante el Subdirector. El testigo las únicas instrucciones que vio fueron en las reuniones que exponía y con el Subdirector se veían los lineamentos más profundos. El demandante veía el Biprovincial y mejoramiento de Cesfam de distintas comunas, la Ligua, Papudo, relacionándose con distintas autoridades. Esto no tiene nada que ver con el proyecto en el que el testigo participaba. Verschae tenía una oficina en el Biprovincial, en los demás no, porque sólo iba a visitar clientes, y estaba en terreno. Las labores de Verschae era ser ITO en el Biprovincial, coordinaba con el mandante, revisaba el libro de obras, estados de pago, veía que se cumplieran los lineamientos de ejecución de trabajos. En los consultorios de comunas visitaba Alcaldes, Subdirectores para ver los avances de los consultorios y cómo llamar a licitación en ellos. Esto lo ve de agosto de 2021 a mayo de 2022.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Contrainterrogado señala que al hablar de recibir lineamientos del mandante, que es quien ejecuta los trabajos, quiso decir el contratista, me equivoque. Tenía oficina en una obra, después que terminaba las reuniones se iba al Biprovincial donde tenía oficina.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PARTE DEMANDADA.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w:t>
      </w:r>
    </w:p>
    <w:p>
      <w:pPr>
        <w:jc w:val="both"/>
      </w:pPr>
      <w:r>
        <w:rPr>
          <w:rFonts w:ascii="Arial" w:hAnsi="Arial" w:eastAsia="Arial" w:cs="Arial"/>
          <w:sz w:val="24"/>
          <w:szCs w:val="24"/>
        </w:rPr>
        <w:t xml:space="preserve">Prueba Documental:</w:t>
      </w:r>
    </w:p>
    <w:p>
      <w:pPr>
        <w:jc w:val="both"/>
      </w:pPr>
      <w:r>
        <w:rPr>
          <w:rFonts w:ascii="Arial" w:hAnsi="Arial" w:eastAsia="Arial" w:cs="Arial"/>
          <w:sz w:val="24"/>
          <w:szCs w:val="24"/>
        </w:rPr>
        <w:t xml:space="preserve">1.</w:t>
      </w:r>
    </w:p>
    <w:p>
      <w:pPr>
        <w:jc w:val="both"/>
      </w:pPr>
      <w:r>
        <w:rPr>
          <w:rFonts w:ascii="Arial" w:hAnsi="Arial" w:eastAsia="Arial" w:cs="Arial"/>
          <w:sz w:val="24"/>
          <w:szCs w:val="24"/>
        </w:rPr>
        <w:t xml:space="preserve">Convenio Honorarios Nº457 de 6 mayo 2020 (vigente en el período del 6 de mayo de 2020 al 31 de julio de 2020)</w:t>
      </w:r>
    </w:p>
    <w:p>
      <w:pPr>
        <w:jc w:val="both"/>
      </w:pPr>
      <w:r>
        <w:rPr>
          <w:rFonts w:ascii="Arial" w:hAnsi="Arial" w:eastAsia="Arial" w:cs="Arial"/>
          <w:sz w:val="24"/>
          <w:szCs w:val="24"/>
        </w:rPr>
        <w:t xml:space="preserve">2.</w:t>
      </w:r>
    </w:p>
    <w:p>
      <w:pPr>
        <w:jc w:val="both"/>
      </w:pPr>
      <w:r>
        <w:rPr>
          <w:rFonts w:ascii="Arial" w:hAnsi="Arial" w:eastAsia="Arial" w:cs="Arial"/>
          <w:sz w:val="24"/>
          <w:szCs w:val="24"/>
        </w:rPr>
        <w:t xml:space="preserve">Convenio Honorarios Nº1283 de 28 de julio de 2020 (vigente en el período del 1 de agosto de 2020 al 31 de diciembre de 2020)</w:t>
      </w:r>
    </w:p>
    <w:p>
      <w:pPr>
        <w:jc w:val="both"/>
      </w:pPr>
      <w:r>
        <w:rPr>
          <w:rFonts w:ascii="Arial" w:hAnsi="Arial" w:eastAsia="Arial" w:cs="Arial"/>
          <w:sz w:val="24"/>
          <w:szCs w:val="24"/>
        </w:rPr>
        <w:t xml:space="preserve">3.</w:t>
      </w:r>
    </w:p>
    <w:p>
      <w:pPr>
        <w:jc w:val="both"/>
      </w:pPr>
      <w:r>
        <w:rPr>
          <w:rFonts w:ascii="Arial" w:hAnsi="Arial" w:eastAsia="Arial" w:cs="Arial"/>
          <w:sz w:val="24"/>
          <w:szCs w:val="24"/>
        </w:rPr>
        <w:t xml:space="preserve">Convenio Honorarios N°313 de 25 de enero de 2021 (con vigencia entre el 1 de enero de 2021-31 de enero de 2021)</w:t>
      </w:r>
    </w:p>
    <w:p>
      <w:pPr>
        <w:jc w:val="both"/>
      </w:pPr>
      <w:r>
        <w:rPr>
          <w:rFonts w:ascii="Arial" w:hAnsi="Arial" w:eastAsia="Arial" w:cs="Arial"/>
          <w:sz w:val="24"/>
          <w:szCs w:val="24"/>
        </w:rPr>
        <w:t xml:space="preserve">4.</w:t>
      </w:r>
    </w:p>
    <w:p>
      <w:pPr>
        <w:jc w:val="both"/>
      </w:pPr>
      <w:r>
        <w:rPr>
          <w:rFonts w:ascii="Arial" w:hAnsi="Arial" w:eastAsia="Arial" w:cs="Arial"/>
          <w:sz w:val="24"/>
          <w:szCs w:val="24"/>
        </w:rPr>
        <w:t xml:space="preserve">Resolución Exenta N°653/2021 que aprueba Convenio Nº313.</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5.</w:t>
      </w:r>
    </w:p>
    <w:p>
      <w:pPr>
        <w:jc w:val="both"/>
      </w:pPr>
      <w:r>
        <w:rPr>
          <w:rFonts w:ascii="Arial" w:hAnsi="Arial" w:eastAsia="Arial" w:cs="Arial"/>
          <w:sz w:val="24"/>
          <w:szCs w:val="24"/>
        </w:rPr>
        <w:t xml:space="preserve">Convenio Honorarios N°319 de 25 de enero de 2021 (con vigencia entre el 1 de febrero de 2021-28 de febrero de 2021)</w:t>
      </w:r>
    </w:p>
    <w:p>
      <w:pPr>
        <w:jc w:val="both"/>
      </w:pPr>
      <w:r>
        <w:rPr>
          <w:rFonts w:ascii="Arial" w:hAnsi="Arial" w:eastAsia="Arial" w:cs="Arial"/>
          <w:sz w:val="24"/>
          <w:szCs w:val="24"/>
        </w:rPr>
        <w:t xml:space="preserve">6.</w:t>
      </w:r>
    </w:p>
    <w:p>
      <w:pPr>
        <w:jc w:val="both"/>
      </w:pPr>
      <w:r>
        <w:rPr>
          <w:rFonts w:ascii="Arial" w:hAnsi="Arial" w:eastAsia="Arial" w:cs="Arial"/>
          <w:sz w:val="24"/>
          <w:szCs w:val="24"/>
        </w:rPr>
        <w:t xml:space="preserve">Resolución Exenta N°1967/2021 que aprueba Convenio Nº319.</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7.</w:t>
      </w:r>
    </w:p>
    <w:p>
      <w:pPr>
        <w:jc w:val="both"/>
      </w:pPr>
      <w:r>
        <w:rPr>
          <w:rFonts w:ascii="Arial" w:hAnsi="Arial" w:eastAsia="Arial" w:cs="Arial"/>
          <w:sz w:val="24"/>
          <w:szCs w:val="24"/>
        </w:rPr>
        <w:t xml:space="preserve">Adendum N° 954 de Convenio 319 de 20 de Abril de 2021</w:t>
      </w:r>
    </w:p>
    <w:p>
      <w:pPr>
        <w:jc w:val="both"/>
      </w:pPr>
      <w:r>
        <w:rPr>
          <w:rFonts w:ascii="Arial" w:hAnsi="Arial" w:eastAsia="Arial" w:cs="Arial"/>
          <w:sz w:val="24"/>
          <w:szCs w:val="24"/>
        </w:rPr>
        <w:t xml:space="preserve">8.</w:t>
      </w:r>
    </w:p>
    <w:p>
      <w:pPr>
        <w:jc w:val="both"/>
      </w:pPr>
      <w:r>
        <w:rPr>
          <w:rFonts w:ascii="Arial" w:hAnsi="Arial" w:eastAsia="Arial" w:cs="Arial"/>
          <w:sz w:val="24"/>
          <w:szCs w:val="24"/>
        </w:rPr>
        <w:t xml:space="preserve">Resolución Exenta Nº3320 que aprueba Adendum de Convenio 319</w:t>
      </w:r>
    </w:p>
    <w:p>
      <w:pPr>
        <w:jc w:val="both"/>
      </w:pPr>
      <w:r>
        <w:rPr>
          <w:rFonts w:ascii="Arial" w:hAnsi="Arial" w:eastAsia="Arial" w:cs="Arial"/>
          <w:sz w:val="24"/>
          <w:szCs w:val="24"/>
        </w:rPr>
        <w:t xml:space="preserve">9.</w:t>
      </w:r>
    </w:p>
    <w:p>
      <w:pPr>
        <w:jc w:val="both"/>
      </w:pPr>
      <w:r>
        <w:rPr>
          <w:rFonts w:ascii="Arial" w:hAnsi="Arial" w:eastAsia="Arial" w:cs="Arial"/>
          <w:sz w:val="24"/>
          <w:szCs w:val="24"/>
        </w:rPr>
        <w:t xml:space="preserve">Convenio Honorarios N° 635 de 17 de marzo de 2021 (con vigencia entre el 1 de marzo de 2021-30 de junio de 2021)</w:t>
      </w:r>
    </w:p>
    <w:p>
      <w:pPr>
        <w:jc w:val="both"/>
      </w:pPr>
      <w:r>
        <w:rPr>
          <w:rFonts w:ascii="Arial" w:hAnsi="Arial" w:eastAsia="Arial" w:cs="Arial"/>
          <w:sz w:val="24"/>
          <w:szCs w:val="24"/>
        </w:rPr>
        <w:t xml:space="preserve">10.</w:t>
      </w:r>
    </w:p>
    <w:p>
      <w:pPr>
        <w:jc w:val="both"/>
      </w:pPr>
      <w:r>
        <w:rPr>
          <w:rFonts w:ascii="Arial" w:hAnsi="Arial" w:eastAsia="Arial" w:cs="Arial"/>
          <w:sz w:val="24"/>
          <w:szCs w:val="24"/>
        </w:rPr>
        <w:t xml:space="preserve">Resolución Exenta N°1970/2021 que aprueba Convenio Nº635.</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11.</w:t>
      </w:r>
    </w:p>
    <w:p>
      <w:pPr>
        <w:jc w:val="both"/>
      </w:pPr>
      <w:r>
        <w:rPr>
          <w:rFonts w:ascii="Arial" w:hAnsi="Arial" w:eastAsia="Arial" w:cs="Arial"/>
          <w:sz w:val="24"/>
          <w:szCs w:val="24"/>
        </w:rPr>
        <w:t xml:space="preserve">Convenio Honorarios Nº1297 de 22 de junio de 2021 (vigente en el período del 1 de julio de 2021 al 31 de diciembre de 2021)</w:t>
      </w:r>
    </w:p>
    <w:p>
      <w:pPr>
        <w:jc w:val="both"/>
      </w:pPr>
      <w:r>
        <w:rPr>
          <w:rFonts w:ascii="Arial" w:hAnsi="Arial" w:eastAsia="Arial" w:cs="Arial"/>
          <w:sz w:val="24"/>
          <w:szCs w:val="24"/>
        </w:rPr>
        <w:t xml:space="preserve">12.</w:t>
      </w:r>
    </w:p>
    <w:p>
      <w:pPr>
        <w:jc w:val="both"/>
      </w:pPr>
      <w:r>
        <w:rPr>
          <w:rFonts w:ascii="Arial" w:hAnsi="Arial" w:eastAsia="Arial" w:cs="Arial"/>
          <w:sz w:val="24"/>
          <w:szCs w:val="24"/>
        </w:rPr>
        <w:t xml:space="preserve">Resolución Exenta Nº4659/2021 que aprueba Convenio Nº1297</w:t>
      </w:r>
    </w:p>
    <w:p>
      <w:pPr>
        <w:jc w:val="both"/>
      </w:pPr>
      <w:r>
        <w:rPr>
          <w:rFonts w:ascii="Arial" w:hAnsi="Arial" w:eastAsia="Arial" w:cs="Arial"/>
          <w:sz w:val="24"/>
          <w:szCs w:val="24"/>
        </w:rPr>
        <w:t xml:space="preserve">13.</w:t>
      </w:r>
    </w:p>
    <w:p>
      <w:pPr>
        <w:jc w:val="both"/>
      </w:pPr>
      <w:r>
        <w:rPr>
          <w:rFonts w:ascii="Arial" w:hAnsi="Arial" w:eastAsia="Arial" w:cs="Arial"/>
          <w:sz w:val="24"/>
          <w:szCs w:val="24"/>
        </w:rPr>
        <w:t xml:space="preserve">Convenio Honorarios Nº146 de 21 de enero de 2022 (vigente en el período del 1 de enero de 2022 al 31 de marzo de 2022)</w:t>
      </w:r>
    </w:p>
    <w:p>
      <w:pPr>
        <w:jc w:val="both"/>
      </w:pPr>
      <w:r>
        <w:rPr>
          <w:rFonts w:ascii="Arial" w:hAnsi="Arial" w:eastAsia="Arial" w:cs="Arial"/>
          <w:sz w:val="24"/>
          <w:szCs w:val="24"/>
        </w:rPr>
        <w:t xml:space="preserve">14.</w:t>
      </w:r>
    </w:p>
    <w:p>
      <w:pPr>
        <w:jc w:val="both"/>
      </w:pPr>
      <w:r>
        <w:rPr>
          <w:rFonts w:ascii="Arial" w:hAnsi="Arial" w:eastAsia="Arial" w:cs="Arial"/>
          <w:sz w:val="24"/>
          <w:szCs w:val="24"/>
        </w:rPr>
        <w:t xml:space="preserve">Resolución Exenta Nº1045/2022 que aprueba Convenio Nº146</w:t>
      </w:r>
    </w:p>
    <w:p>
      <w:pPr>
        <w:jc w:val="both"/>
      </w:pPr>
      <w:r>
        <w:rPr>
          <w:rFonts w:ascii="Arial" w:hAnsi="Arial" w:eastAsia="Arial" w:cs="Arial"/>
          <w:sz w:val="24"/>
          <w:szCs w:val="24"/>
        </w:rPr>
        <w:t xml:space="preserve">15.</w:t>
      </w:r>
    </w:p>
    <w:p>
      <w:pPr>
        <w:jc w:val="both"/>
      </w:pPr>
      <w:r>
        <w:rPr>
          <w:rFonts w:ascii="Arial" w:hAnsi="Arial" w:eastAsia="Arial" w:cs="Arial"/>
          <w:sz w:val="24"/>
          <w:szCs w:val="24"/>
        </w:rPr>
        <w:t xml:space="preserve">Convenio Honorarios Nº403 de 30 de marzo de 2022 (vigente en el período del 1 de abril de 2022 al 31 de mayo de 2022)</w:t>
      </w:r>
    </w:p>
    <w:p>
      <w:pPr>
        <w:jc w:val="both"/>
      </w:pPr>
      <w:r>
        <w:rPr>
          <w:rFonts w:ascii="Arial" w:hAnsi="Arial" w:eastAsia="Arial" w:cs="Arial"/>
          <w:sz w:val="24"/>
          <w:szCs w:val="24"/>
        </w:rPr>
        <w:t xml:space="preserve">16.</w:t>
      </w:r>
    </w:p>
    <w:p>
      <w:pPr>
        <w:jc w:val="both"/>
      </w:pPr>
      <w:r>
        <w:rPr>
          <w:rFonts w:ascii="Arial" w:hAnsi="Arial" w:eastAsia="Arial" w:cs="Arial"/>
          <w:sz w:val="24"/>
          <w:szCs w:val="24"/>
        </w:rPr>
        <w:t xml:space="preserve">Resolución Exenta Nº2672/2022 que aprueba Convenio Nº403</w:t>
      </w:r>
    </w:p>
    <w:p>
      <w:pPr>
        <w:jc w:val="both"/>
      </w:pPr>
      <w:r>
        <w:rPr>
          <w:rFonts w:ascii="Arial" w:hAnsi="Arial" w:eastAsia="Arial" w:cs="Arial"/>
          <w:sz w:val="24"/>
          <w:szCs w:val="24"/>
        </w:rPr>
        <w:t xml:space="preserve">17.</w:t>
      </w:r>
    </w:p>
    <w:p>
      <w:pPr>
        <w:jc w:val="both"/>
      </w:pPr>
      <w:r>
        <w:rPr>
          <w:rFonts w:ascii="Arial" w:hAnsi="Arial" w:eastAsia="Arial" w:cs="Arial"/>
          <w:sz w:val="24"/>
          <w:szCs w:val="24"/>
        </w:rPr>
        <w:t xml:space="preserve">Boletas de honorarios más Informe de Actividades de los meses de mayo a diciembre de 2020</w:t>
      </w:r>
    </w:p>
    <w:p>
      <w:pPr>
        <w:jc w:val="both"/>
      </w:pPr>
      <w:r>
        <w:rPr>
          <w:rFonts w:ascii="Arial" w:hAnsi="Arial" w:eastAsia="Arial" w:cs="Arial"/>
          <w:sz w:val="24"/>
          <w:szCs w:val="24"/>
        </w:rPr>
        <w:t xml:space="preserve">18.</w:t>
      </w:r>
    </w:p>
    <w:p>
      <w:pPr>
        <w:jc w:val="both"/>
      </w:pPr>
      <w:r>
        <w:rPr>
          <w:rFonts w:ascii="Arial" w:hAnsi="Arial" w:eastAsia="Arial" w:cs="Arial"/>
          <w:sz w:val="24"/>
          <w:szCs w:val="24"/>
        </w:rPr>
        <w:t xml:space="preserve">Boletas de honorarios más Informe de Actividades de los meses de enero a diciembre de 2021</w:t>
      </w:r>
    </w:p>
    <w:p>
      <w:pPr>
        <w:jc w:val="both"/>
      </w:pPr>
      <w:r>
        <w:rPr>
          <w:rFonts w:ascii="Arial" w:hAnsi="Arial" w:eastAsia="Arial" w:cs="Arial"/>
          <w:sz w:val="24"/>
          <w:szCs w:val="24"/>
        </w:rPr>
        <w:t xml:space="preserve">19.</w:t>
      </w:r>
    </w:p>
    <w:p>
      <w:pPr>
        <w:jc w:val="both"/>
      </w:pPr>
      <w:r>
        <w:rPr>
          <w:rFonts w:ascii="Arial" w:hAnsi="Arial" w:eastAsia="Arial" w:cs="Arial"/>
          <w:sz w:val="24"/>
          <w:szCs w:val="24"/>
        </w:rPr>
        <w:t xml:space="preserve">Boletas de honorarios más Informe de Actividades de los meses de enero a abril de 2022</w:t>
      </w:r>
    </w:p>
    <w:p>
      <w:pPr>
        <w:jc w:val="both"/>
      </w:pPr>
      <w:r>
        <w:rPr>
          <w:rFonts w:ascii="Arial" w:hAnsi="Arial" w:eastAsia="Arial" w:cs="Arial"/>
          <w:sz w:val="24"/>
          <w:szCs w:val="24"/>
        </w:rPr>
        <w:t xml:space="preserve">20.</w:t>
      </w:r>
    </w:p>
    <w:p>
      <w:pPr>
        <w:jc w:val="both"/>
      </w:pPr>
      <w:r>
        <w:rPr>
          <w:rFonts w:ascii="Arial" w:hAnsi="Arial" w:eastAsia="Arial" w:cs="Arial"/>
          <w:sz w:val="24"/>
          <w:szCs w:val="24"/>
        </w:rPr>
        <w:t xml:space="preserve">Decreto Nº172 de 14 de febrero de 2019 del Ministerio de Hacienda, que identifica iniciativas de inversión en el presupuesto del sector público, identificando en su página 5, la iniciativa correspondiente a la Normalización del Hospital Dr. Gustavo Fricke y Construcción del Hospital Bi-Provincial Quillota-Petorca, y en especial la de consultorías, identificándolas con el subtítulo 31, ítem 02, sub ítem 002.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21.</w:t>
      </w:r>
    </w:p>
    <w:p>
      <w:pPr>
        <w:jc w:val="both"/>
      </w:pPr>
      <w:r>
        <w:rPr>
          <w:rFonts w:ascii="Arial" w:hAnsi="Arial" w:eastAsia="Arial" w:cs="Arial"/>
          <w:sz w:val="24"/>
          <w:szCs w:val="24"/>
        </w:rPr>
        <w:t xml:space="preserve">Decreto Nº1450 de 2 de octubre de 2019 del Ministerio de Hacienda, que identifica iniciativas de inversión en el presupuesto del sector público, identificando en su página 3, la iniciativa correspondiente a la Construcción del Hospital Provincial Marga-Marga, y en especial la de consultorías, identificándola con el subtítulo 31, ítem 02, sub ítem 002.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22.</w:t>
      </w:r>
    </w:p>
    <w:p>
      <w:pPr>
        <w:jc w:val="both"/>
      </w:pPr>
      <w:r>
        <w:rPr>
          <w:rFonts w:ascii="Arial" w:hAnsi="Arial" w:eastAsia="Arial" w:cs="Arial"/>
          <w:sz w:val="24"/>
          <w:szCs w:val="24"/>
        </w:rPr>
        <w:t xml:space="preserve">Resolución Exenta Nº137 de 10.enero.2018, que aprueba el contrato entre el Servicio de Salud Viña del Mar-Quillota y Acciona S.A. Agencia en Chile, para el Diseño y Construcción del Hospital Provincial Marga-Marga.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b)</w:t>
      </w:r>
    </w:p>
    <w:p>
      <w:pPr>
        <w:jc w:val="both"/>
      </w:pPr>
      <w:r>
        <w:rPr>
          <w:rFonts w:ascii="Arial" w:hAnsi="Arial" w:eastAsia="Arial" w:cs="Arial"/>
          <w:sz w:val="24"/>
          <w:szCs w:val="24"/>
        </w:rPr>
        <w:t xml:space="preserve">Prueba Confesional:</w:t>
      </w:r>
    </w:p>
    <w:p>
      <w:pPr>
        <w:jc w:val="both"/>
      </w:pPr>
      <w:r>
        <w:rPr>
          <w:rFonts w:ascii="Arial" w:hAnsi="Arial" w:eastAsia="Arial" w:cs="Arial"/>
          <w:sz w:val="24"/>
          <w:szCs w:val="24"/>
        </w:rPr>
        <w:t xml:space="preserve">Solicita se cite a absolver posiciones a la audiencia de juicio a Marcelo Enrique Verschae Verschae, bajo apercibimiento legal.</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Se desiste.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w:t>
      </w:r>
    </w:p>
    <w:p>
      <w:pPr>
        <w:jc w:val="both"/>
      </w:pPr>
      <w:r>
        <w:rPr>
          <w:rFonts w:ascii="Arial" w:hAnsi="Arial" w:eastAsia="Arial" w:cs="Arial"/>
          <w:sz w:val="24"/>
          <w:szCs w:val="24"/>
        </w:rPr>
        <w:t xml:space="preserve">Prueba Testimonial:</w:t>
      </w:r>
    </w:p>
    <w:p>
      <w:pPr>
        <w:jc w:val="both"/>
      </w:pPr>
      <w:r>
        <w:rPr>
          <w:rFonts w:ascii="Arial" w:hAnsi="Arial" w:eastAsia="Arial" w:cs="Arial"/>
          <w:sz w:val="24"/>
          <w:szCs w:val="24"/>
        </w:rPr>
        <w:t xml:space="preserve">1.</w:t>
      </w:r>
    </w:p>
    <w:p>
      <w:pPr>
        <w:jc w:val="both"/>
      </w:pPr>
      <w:r>
        <w:rPr>
          <w:rFonts w:ascii="Arial" w:hAnsi="Arial" w:eastAsia="Arial" w:cs="Arial"/>
          <w:sz w:val="24"/>
          <w:szCs w:val="24"/>
        </w:rPr>
        <w:t xml:space="preserve">MANUEL URBINA MARCHANT, cédula de identidad N° 8.918.859-8, Abogado, domiciliado en Calle Montaña Nº834, Viña del Mar.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Interrogada por la parte demandada señala que conoce al demandante, ya que don Marcelo Vershae fue contratado por SSVMQ como convenio a honorarios para varios proyectos hospitalarios del servicio, financiados por el Ministerio de Salud, para el Hospital Biprovincial Quillota-Petorca, Provincial Marga Marga y Normalización Hospital Gustavo Fricke. Esas obras son proyectos que tienen una duración acotada en el tiempo, principio de ejecución y concluyen. Marcelo estuvo contratado primero para el Provincial Marga Marga como ingeniero constructor, era un proyecto de diseño y ejecución, que realiza empresa Acciona, debiera concluir en septiembre del 2024. Además para el Biprovincial Quillota-Petorca, que fue entregado el año pasado. El otro es el Gustavo Fricke, en proceso de recepción definitiva del Hospital. Hay una política del Ministerio de Salud que no tiene como misión la construcción de hospitales, pero normalmente genera dispositivos hospitalarios más chicos como los Cesfam. Estos proyectos hospitalarios surgen en 2002, 2003, el diseño de estos grandes hospitales que se han ido ejecutando en el país. Como tiene inicio y término, los profesionales son contratados a honorarios, porque no está dentro de la actividad permanente del servicio. El Ministerio de Salud financia estos grandes proyectos Hospitalarios, suministra recursos al servicio respectivo, la forma de operar es a través de una Inspección Técnica a cargo de un agente público que es un funcionario contratado por Ministerio de Salud, no del servicio, es a honorarios, un ITO del Ministerio de Salud, bajo él se subordinan todos los profesionales requeridos para la obra de acuerdo a sus especialidades. El Servicio de Salud ejecuta otros proyectos más pequeños, Cesfam, SARS, también requieren inspector técnico, debiera ser un agente público, peor no hay suficientes, para ello se contrata a honorarios para esas obras. Marcelo Vershae era ITO del Hospital Marga Marga, en el Biprovincial Quillota-Petorca había una situación especial, no había ITO, se hace por convenio mandato entre el Servicio de Salud y la Dirección de Arquitectura del MOP. No se requería un ITO del Ministerio porque ejecutaba el MOP. Esa es la variante que tiene el Ministerio. En el Servicio no tenía un ITO pero requerían profesionales que revisaran ciertas obras, y quien ejecutaba esto era Marcelo Vershae. Eduardo González, subdirector de desarrollo institucional de Servicio, le daba instrucciones generales para el desarrollo de su trabajo. En el Hospital Gustavo Fricke, a través del Ministerio de Salud, tiene un agente público, Marcelo Vershae presta servicios como ingeniero en construcción en este proyecto, que estaba en su etapa final. El lugar físico en que prestaba servicios el demandante, demuestra lo accesorio y accidental de la prestación de servicios. Para ser fiscalizado por ITO, se solicita por Ministerio de Salud que sea la constructora la que presta el lugar en que reciben y trabajan los funcionarios contratados por el Servicio, acá las empresas constructoras en el Hospital Marga Marga presta un conteiner para habilitar las oficinas, las que luego son retiradas, lo mismo en el Fricke, son entregados los conteiner por OHL, empresa constructora, luego de recepcionado el hospital, se retiran.</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Contrainterrogado por la demandante señala que los contratos por los que se contrata al demandante eran Hospitales, Fricke, Biprovincial Quillota y Marga Marga. No recuerda si tuvo oficina en algún hospital en tercer piso, puede haber sido en Fricke, una vez que OHL retira el conteiner, transitoriamente el hospital en tercer piso facilita oficinas para que funcione la Inspección Técnica. Los convenios a honorarios tienen presupuestos anuales del Ministerio Salud, para las obras que se requieren como para equipos médicos, y funcionarios contratados a honorarios, los contratos normalmente son de enero a diciembre. En el caso de Marcelo comenzaban en un hospital y seguían continuamente en otro, no recuerda periodos de vacío. Los proyectos para los que se contrata al demandante, el servicio es mandante y el que construye es la constructora, el servicio mandata pero debe tener quien fiscalice y pida cuenta a las Inspecciones Técnicas, tienen que informar a la estructura del servicio, ahí está la Subdirección de Desarrollo Institucional, que ve el tema operativo de las construcción de grandes hospitales. El servicio para el que se mandata al demandante dependía de la Inspección Técnica, ésta con la Dirección de Desarrollo Institucional, pero directamente el de la Subdirección. La Subdirección de Operaciones del servicio está a cargo de un sin número de actividades, pero en cuanto a construcción se encarga de fiscalizar todos los dispositivos hospitalarios más pequeños, CESFAM. El control de la asistencia del Sr. Verschae, en Inspecciones Técnicas se maneja libro de asistencia, requerimiento exigido respecto de trabajadores a honorarios por la Contraloría General, cuando van a la obra que tienen que registrar horario de ingreso y salida. La Subdirección de Desarrollo Institucional tiene una Inspección Técnica de obra para grandes proyectos, con ella se relacionaba el demandante. Además hay una Inspección Técnica de obra que se relaciona con la Subdirección de Operaciones, para los hospitales pequeños. Ignora si el demandante se relacionó con la Inspección Técnica de Obras de la Subdirección de Operaciones. Si lo hubiera hecho también era transitoria, dura lo que dura el proyecto de construcción de un Cesfam y un SARS, los que son proyectos chicos.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2.</w:t>
      </w:r>
    </w:p>
    <w:p>
      <w:pPr>
        <w:jc w:val="both"/>
      </w:pPr>
      <w:r>
        <w:rPr>
          <w:rFonts w:ascii="Arial" w:hAnsi="Arial" w:eastAsia="Arial" w:cs="Arial"/>
          <w:sz w:val="24"/>
          <w:szCs w:val="24"/>
        </w:rPr>
        <w:t xml:space="preserve">PAOLA ANDREA GAONA ARANCIBIA; cédula de identidad N°. 13.633.710-6, Secretaria, domiciliada en Calle Montaña Nº834, Viña del Mar.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Interrogada por la demandada señala que conoce a Marcelo Vershae, entró al Servicio en el año 2020, como ella hace los convenios a honorarios lo conoce. El sistema de los informes y remuneración se concretaban y visaban dependiendo dónde estuviera trabajando, en Marga Marga estaban firmados por el Inspector Fiscal del Servicio de Salud y el Subdirector de la Subdirección de Desarrollo Institucional, esto a solicitud del Ministerio de Salud. En el Hospital Quillota Petorca iban firmados por la Jefa de Departamento de Puesta en Marcha y Subdirector de Desarrollo Institucional, el tercero por Normalización Hospital Gustavo Fricke firmaba el Subdirector Desarrollo Institucional y un ITO por resolución del Servicio de Salud. Para el pago de remuneraciones el demandante debía pedir boletas e informes de cumplimiento del profesional. Luego ella sacaba la firma de las jefaturas s a través de la plataforma.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Contrainterrogada para la demandada, señala que se contrata al demandante para el Hospital Provincial Marga Marga, Biprovincial Quillota-Petorca, Normalización Hospital Gustavo Fricke, y que Verschae recibía instrucciones de don Eduardo González, no sabe so cumplía funciones en Consultorio a Punto, Vershae no podía realizar funciones en consultorios.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El Tribunal solicita aclare: Marcelo no podía realizar labores para Consultorio a Punto porque el convenio a honorarios era con un proyecto hospitalario, y no para eso. El proyecto Consultorio a Punto dependía de Atención Primaria de Salud.</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OTROS MEDIOS DE PRUEBA.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w:t>
      </w:r>
    </w:p>
    <w:p>
      <w:pPr>
        <w:jc w:val="both"/>
      </w:pPr>
      <w:r>
        <w:rPr>
          <w:rFonts w:ascii="Arial" w:hAnsi="Arial" w:eastAsia="Arial" w:cs="Arial"/>
          <w:sz w:val="24"/>
          <w:szCs w:val="24"/>
        </w:rPr>
        <w:t xml:space="preserve">Oficios:</w:t>
      </w:r>
    </w:p>
    <w:p>
      <w:pPr>
        <w:jc w:val="both"/>
      </w:pPr>
      <w:r>
        <w:rPr>
          <w:rFonts w:ascii="Arial" w:hAnsi="Arial" w:eastAsia="Arial" w:cs="Arial"/>
          <w:sz w:val="24"/>
          <w:szCs w:val="24"/>
        </w:rPr>
        <w:t xml:space="preserve">Solicita se oficie a la Contraloría Regional de Valparaíso, cuyo domillo es Calle Edwards Nº699, Valparaíso, correo electrónico: valpo@contraloría.cl; a fin de que la aludida institución remita a estos autos el Oficio NºE241332/2022 de fecha 1 de agosto de 2022, que dispone se tomen medidas para obtener el reintegro de dinero por el tiempo no trabajado de la jornada laboral del actor.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PRUEBA DEL TRIBUNAL</w:t>
      </w:r>
    </w:p>
    <w:p>
      <w:pPr>
        <w:jc w:val="both"/>
      </w:pPr>
      <w:r>
        <w:rPr>
          <w:rFonts w:ascii="Arial" w:hAnsi="Arial" w:eastAsia="Arial" w:cs="Arial"/>
          <w:sz w:val="24"/>
          <w:szCs w:val="24"/>
        </w:rPr>
        <w:t xml:space="preserve">Exhíbase por la demandada el organigrama del Servicio de Salud Viña del Mar Quillota, en que se pueda visualizar todos y cada uno de los departamentos en el que se divide el Servicio de Salud y en el Subdepartamento en el que cada uno de ellos se subdivide. Igualmente, que se remita documento en el que conste las posiciones de los departamentos y Subdepartamento de la institución demandada, bajo apercibimiento legal. Folio 52.</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SEXTO: Que, una vez concluida la rendición de la prueba las partes proceden a observarla en los términos que constan en el audio respectivo.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SÉPTIMO: Que, en la actual causa se ha fijado como primer punto de prueba: “Hechos y circunstancias que el determinen que el actor mientras se desempeñó para el Servicio de Salud demandado, lo hizo bajo el distintivo vínculo de subordinación y dependencia”.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Tratándose la actual discusión, en definitiva, respecto si en el caso de autos nos encontramos ante una contratación a honorarios del actor, al tenor del artículo 11 del Estatuto Administrativo; como da cuenta el tenor formal de la prueba documental incorporada por las partes, particularmente Convenios a Honorarios y Resoluciones Exentas que contienen las distintas contrataciones de don Marcelo Versche Versche; o en definitiva si dicha contratación se habría salido del marco de la norma aludida, pasando a configurarse una relación catalogada por la jurisprudencia como de orden laboral, con la esencial característica del vínculo de subordinación y dependencia.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En este sentido, ha sido criterio de este Tribunal, considerar que en este tipo de causas se debe hacer un doble análisis: el primero, en relación a la procedencia de los requisitos que tiene la administración pública para llevar a cabo una contratación en los términos del artículo 11 de la ley N°18.834, y el segundo, relativo a la existencia de vínculo de subordinación y dependencia propio del Código del Trabajo en cada caso en particular.</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OCTAVO: Que, el análisis relativo a la existencia de indicios de subordinación o dependencia, si bien en la actual causa, se plantea por la demandante la existencia de ciertos esbozos de la misma a partir de la prueba documental consistente en set de 57 correos electrónicos dirigidos a la casilla institucional del actor, entre el 8 de febrero de 2021 y el 5 de abril de 2022, estos antecedentes, resultan ser insuficientes, toda vez que, los mismos más que instrucciones propiamente tal dan cuenta de información remitida al actor y coordinación de ciertas actividades que éste debía realizar en conjunto con terceros. Su labor es bastante libre e independiente, incluso en uno de los correos informa a dos personas que ese día va a realizar teletrabajo por estar resfriado, no existiendo de por medio una autorización especial, ni permiso para ello, más allá de haber puesto en conocimiento de esto a don Eduardo González. No existen instrucciones en el tenor propio de un vínculo subordinado, se ve como el trabajador se mueve en distintos lugares en los que presta servicio, lo que hace con bastante libertad. Si bien deja registro en su visita a la obras, como se puede extraer del documento 12, informes de registro de visitas efectuadas por el actor en cumplimiento de sus funciones desde enero a diciembre de 2021, esto no es propiamente tal un registro de asistencia, teniendo como único fin demostrar el cumplimiento de los servicios para los cuales fue contratado. De hecho en la última parte del documento, avanzado el tiempo de contratación, se puede observar lo disímiles de los horarios de trabajo, que si bien en un comienzo resultaban usualmente ser regulares, luego son totalmente diferentes, existiendo días en los que concurre sólo en la tarde o en la mañana. En lo que guarda relación con los 8 informes de programación de actividades en periodo de teletrabajo o funciones mixtas, entre marzo y octubre de 2021, estos no son más que eso, una planilla que señala las actividades realizadas en una fecha, algo propio de las contrataciones a honorarios y que con posterioridad permite dar origen a los informes que el actor debía emitir para el pago de sus honorarios. No existe en este documento instrucción alguna en relación a la forma en que el demandante debiera realizar su trabajo, por lo que la prueba tampoco aporta mayormente para establecer algún indicio de laboralidad.</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A mayor abundamiento, y sin perjuicio de la insuficiencia de material probatorio que demuestre la existencia de los elementos propios de la subordinación y dependencia, este Tribunal ha sido del criterio de entender que, la existencia de Indicios de Laboralidad en la contratación a honorarios con el Estado, no necesariamente conllevan la existencia de un contrato en los términos del Código del Trabajo. El hecho de realizarse una contratación a honorarios entre una persona determinada y el Estado siempre supone un grado de subordinación, que se encuentra representado en las formulas contractuales que el Estado utiliza y mediante las cuales lleva a efecto las actividades que se requieren para el desarrollo de sus funciones. De esta manera para poder definir si se está frente a una subordinación y dependencia propiamente tal, lo relevante, más allá de los distintos indicios tales como: jornada del trabajo, horarios, instrucciones por un superior jerárquico, pago de remuneración periódica y otros; es el hecho de establecer si la contratación se ajusta a la normativa legal que autoriza al órgano competente para proceder a el nombramiento del funcionario a honorarios.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NOVENO: Que, acorde con lo referido en el considerando anterior, aparece de la totalidad de la prueba rendida, tanto de la demandante, como de la demandada, en particular de los Convenios a Honorarios, Resoluciones Exentas y declaración de los testigos de ambas partes, que la contratación del señor Marcelo Verschae Verschae, desde el inicio de la prestación de servicios, 06 de mayo de 2022, estuvo asociada esencialmente a tres proyectos inmobiliarios, la construcción del Hospital provincial Marga Marga, Hospital Biprovincial Quillota y Normalización Hospital Gustavo Fricke. A partir de lo anterior, no podemos entender el nombramiento del demandante en su cargo, sino a partir de la existencia de dichos Proyectos. Debe considerarse que todos estos proyectos no se corresponden con las funciones propias del Servicio, y que son sólo un medio necesario para el adecuado desarrollo de sus fines y objetivos.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Todas las funciones del demandante, de acuerdo a los Convenios y Resoluciones aludidas eran dependientes de la Subdirección de Desarrollo Institucional del Servicio Salud, y se encuentran acotadas a la construcción de los Hospitales referidos. Tanto es así, que en el caso del demandante, queda establecido de la misma prueba rendida por las partes, resoluciones exentas de nombramiento, que la contratación de don Marcelo Verschae Verschae se encuentra asociado a un ítem correspondiente al número 31, que guarda relación con la contratación de consultores asociados a estos, y que dice relación con los Hospitales en cuestión. De esta forma el demandante no podía sino estar en conocimiento de que su contratación se encontraba acotada al desarrollo de los proyectos mismos.</w:t>
      </w:r>
    </w:p>
    <w:p>
      <w:pPr>
        <w:jc w:val="both"/>
      </w:pPr>
      <w:r>
        <w:rPr>
          <w:rFonts w:ascii="Arial" w:hAnsi="Arial" w:eastAsia="Arial" w:cs="Arial"/>
          <w:sz w:val="24"/>
          <w:szCs w:val="24"/>
        </w:rPr>
        <w:t xml:space="preserve">DÉCIMO: Que, de acuerdo a lo razonado en el considerando anterior en base a la prueba rendida, en el presente caso nos encontramos clara y prototípicamente en un caso del artículo 11 de la ley 18.834, en que el Estado está facultado expresamente para contratar profesionales o personas para la prestación de servicios para cometidos específicos, siendo la construcción de un Hospital por parte del Servicio de Salud un cometido especifico concreto, que no es permanente, que tiene una duración acotada y definida en el tiempo. Así el Tribunal entiende que la contratación efectuada por el Servicio de Salud de don Marcelo Verschae Verschae, se encuentra ajustada a derecho y conforme a la normativa citada, por lo tanto, no cabría proceder a la interpretación por parte de este Tribunal respecto de la existencia de un vínculo de su subordinación y dependencia.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DÉCIMO PRIMERO: Que, atendido lo resuelto precedentemente el Tribunal estima innecesario pronunciarse respecto de los restantes hechos a probar fijados en la causa, debiendo procederse directamente al rechazo de la demandada, de manera íntegra, por no haberse configurado la existencia de una relación regida por el Código del Trabajo.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DÉCIMO SEGUNDO: Que, este Tribunal debe necesariamente hacerse cargo de las alegaciones de la demandante en cuanto a que el Sr. Verschae se habría desempeñado en su expertiz en obras más allá de aquellas a las que hacen alusión los Convenios a Honorarios, particularmente en algunos CESFAM en el Programa Consultorio a Punto, dependientes del Servicio. En este sentido efectivamente existen documentos, particularmente correos electrónicos y fotografías, que lo relacionan con este tipo de obras, que no dependen de la Subdirección para la que prestaba servicios de acuerdo a los Convenios a Honorarios acompañados. Sin embargo, esta circunstancia no transforma la relación del actor con el Servicio en una de orden laboral, siendo esto simplemente una manifestación de haberse extendido esta misma relación a honorarios puntualmente a otros temas acotados, lo que de manera alguna muta la naturaleza de la misma.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DÉCIMO TERCERO: Que, la restante prueba en nada altera las conclusiones arribadas en el presente juicio.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DÉCIMO CUARTO: Que, estimando este Tribunal haber tenido el demandante motivo plausible para litigar, no será condenado en costas.</w:t>
      </w:r>
    </w:p>
    <w:p>
      <w:pPr>
        <w:jc w:val="both"/>
      </w:pPr>
      <w:r>
        <w:rPr>
          <w:rFonts w:ascii="Arial" w:hAnsi="Arial" w:eastAsia="Arial" w:cs="Arial"/>
          <w:sz w:val="24"/>
          <w:szCs w:val="24"/>
        </w:rPr>
        <w:t xml:space="preserve">Por estas consideraciones, y de acuerdo a lo dispuesto en los artículos 7 y siguientes, 420 y siguientes, 453, 454, y demás pertinentes del Código del Trabajo, artículo 11 de la Ley 18.834 Estatuto Administrativo, se RESUELVE:</w:t>
      </w:r>
    </w:p>
    <w:p>
      <w:pPr>
        <w:jc w:val="both"/>
      </w:pPr>
      <w:r>
        <w:rPr>
          <w:rFonts w:ascii="Arial" w:hAnsi="Arial" w:eastAsia="Arial" w:cs="Arial"/>
          <w:sz w:val="24"/>
          <w:szCs w:val="24"/>
        </w:rPr>
        <w:t xml:space="preserve">I.-Que se rechaza la demanda despido injustificado y cobro de prestaciones laborales y previsionales interpuesta por don MARCELO VERSCHAE VERSCHAE, en contra del SERVICIO DE SALUD VIÑA DEL MAR – QUILLOTA, todos ya individualizados en la parte expositiva del presente fallo.</w:t>
      </w:r>
    </w:p>
    <w:p>
      <w:pPr>
        <w:jc w:val="both"/>
      </w:pPr>
      <w:r>
        <w:rPr>
          <w:rFonts w:ascii="Arial" w:hAnsi="Arial" w:eastAsia="Arial" w:cs="Arial"/>
          <w:sz w:val="24"/>
          <w:szCs w:val="24"/>
        </w:rPr>
        <w:t xml:space="preserve">II.- Que, derivado de lo expuesto se rechazan las prestaciones de indemnización sustitutiva de aviso previo, años de servicios, recargo legal, feriado legal, proporcional, y cotizaciones de seguridad social requeridos en la demanda.</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III.-Que, cada parte pagará sus costas.</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RIT O-781-2022</w:t>
      </w:r>
    </w:p>
    <w:p>
      <w:pPr>
        <w:jc w:val="both"/>
      </w:pPr>
      <w:r>
        <w:rPr>
          <w:rFonts w:ascii="Arial" w:hAnsi="Arial" w:eastAsia="Arial" w:cs="Arial"/>
          <w:sz w:val="24"/>
          <w:szCs w:val="24"/>
        </w:rPr>
        <w:t xml:space="preserve">RUC 22- 4-0408470-8</w:t>
      </w:r>
    </w:p>
    <w:p>
      <w:pPr>
        <w:jc w:val="both"/>
      </w:pPr>
      <w:r>
        <w:rPr>
          <w:rFonts w:ascii="Arial" w:hAnsi="Arial" w:eastAsia="Arial" w:cs="Arial"/>
          <w:sz w:val="24"/>
          <w:szCs w:val="24"/>
        </w:rPr>
        <w:t xml:space="preserve">Proveyó don(a) MARIA PAZ BARTOLUCCI KONGA, Juez Titular del Juzgado de Letras del Trabajo de Valparaíso.</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En Valparaíso a veintiocho de septiembre de dos mil veintitrés, se notificó por el estado diario la resolución precedente.</w:t>
      </w:r>
    </w:p>
    <w:p>
      <w:pPr>
        <w:jc w:val="both"/>
      </w:pPr>
      <w:r>
        <w:rPr>
          <w:rFonts w:ascii="Arial" w:hAnsi="Arial" w:eastAsia="Arial" w:cs="Arial"/>
          <w:sz w:val="24"/>
          <w:szCs w:val="24"/>
        </w:rPr>
        <w:t xml:space="preserve"/>
      </w:r>
    </w:p>
    <w:p>
      <w:pPr>
        <w:jc w:val="both"/>
      </w:pPr>
      <w:r>
        <w:rPr>
          <w:rFonts w:ascii="Arial" w:hAnsi="Arial" w:eastAsia="Arial" w:cs="Arial"/>
          <w:sz w:val="24"/>
          <w:szCs w:val="24"/>
        </w:rPr>
        <w:t xml:space="preserve"/>
      </w:r>
    </w:p>
    <w:sectPr>
      <w:headerReference w:type="default" r:id="rId7"/>
      <w:footerReference w:type="default" r:id="rId8"/>
      <w:pgSz w:orient="portrait" w:w="12240" w:h="15840"/>
      <w:pgMar w:top="2267.7165354330705" w:right="566.9291338582676" w:bottom="2267.7165354330705" w:left="566.9291338582676"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474.015748031496" w:type="dxa"/>
      <w:gridCol w:w="4308.6614173228345" w:type="dxa"/>
      <w:gridCol w:w="3741.7322834645665" w:type="dxa"/>
      <w:gridCol w:w="1700.787401574803" w:type="dxa"/>
    </w:tblGrid>
    <w:tblPr>
      <w:jc w:val="center"/>
      <w:tblW w:w="11225.1968503937" w:type="auto"/>
      <w:tblLayout w:type="autofit"/>
      <w:bidiVisual w:val="0"/>
      <w:tblCellMar>
        <w:top w:w="170.07874015748033" w:type="dxa"/>
        <w:left w:w="170.07874015748033" w:type="dxa"/>
        <w:right w:w="170.07874015748033" w:type="dxa"/>
        <w:bottom w:w="170.07874015748033" w:type="dxa"/>
      </w:tblCellMar>
    </w:tblPr>
    <w:tr>
      <w:trPr/>
      <w:tc>
        <w:tcPr>
          <w:tcW w:w="1474.015748031496" w:type="dxa"/>
          <w:vAlign w:val="center"/>
          <w:tcBorders>
            <w:top w:val="single" w:sz="0" w:color="000000"/>
            <w:left w:val="single" w:sz="0" w:color="000000"/>
            <w:right w:val="single" w:sz="0" w:color="000000"/>
            <w:bottom w:val="single" w:sz="0" w:color="000000"/>
          </w:tcBorders>
          <w:shd w:val="clear" w:fill="000000"/>
        </w:tcPr>
        <w:p>
          <w:pPr/>
          <w:r>
            <w:pict>
              <v:shape type="#_x0000_t75" stroked="f" style="width:100pt; height:26.651305683564pt; margin-left:0pt; margin-top:0pt; mso-position-horizontal:left; mso-position-vertical:top; mso-position-horizontal-relative:char; mso-position-vertical-relative:line;">
                <w10:wrap type="inline"/>
                <v:imagedata r:id="rId1" o:title=""/>
              </v:shape>
            </w:pict>
          </w:r>
        </w:p>
      </w:tc>
      <w:tc>
        <w:tcPr>
          <w:tcW w:w="4308.6614173228345" w:type="dxa"/>
          <w:vAlign w:val="center"/>
          <w:tcBorders>
            <w:top w:val="single" w:sz="0" w:color="000000"/>
            <w:left w:val="single" w:sz="0" w:color="000000"/>
            <w:right w:val="single" w:sz="0" w:color="000000"/>
            <w:bottom w:val="single" w:sz="0" w:color="000000"/>
          </w:tcBorders>
          <w:shd w:val="clear" w:fill="000000"/>
        </w:tcPr>
        <w:p>
          <w:pPr>
            <w:jc w:val="center"/>
            <w:spacing w:before="0" w:after="70"/>
          </w:pPr>
          <w:r>
            <w:rPr>
              <w:rFonts w:ascii="Arial" w:hAnsi="Arial" w:eastAsia="Arial" w:cs="Arial"/>
              <w:sz w:val="16"/>
              <w:szCs w:val="16"/>
            </w:rPr>
            <w:t xml:space="preserve">https://juris.pjud.cl</w:t>
          </w:r>
        </w:p>
      </w:tc>
      <w:tc>
        <w:tcPr>
          <w:tcW w:w="3741.7322834645665" w:type="dxa"/>
          <w:vAlign w:val="center"/>
          <w:tcBorders>
            <w:top w:val="single" w:sz="0" w:color="000000"/>
            <w:left w:val="single" w:sz="0" w:color="000000"/>
            <w:right w:val="single" w:sz="0" w:color="000000"/>
            <w:bottom w:val="single" w:sz="0" w:color="000000"/>
          </w:tcBorders>
          <w:shd w:val="clear" w:fill="000000"/>
        </w:tcPr>
        <w:p>
          <w:pPr>
            <w:jc w:val="center"/>
            <w:spacing w:before="0" w:after="70"/>
          </w:pPr>
          <w:r>
            <w:rPr>
              <w:rFonts w:ascii="Arial" w:hAnsi="Arial" w:eastAsia="Arial" w:cs="Arial"/>
              <w:sz w:val="16"/>
              <w:szCs w:val="16"/>
            </w:rPr>
            <w:t xml:space="preserve">Documento generado el 09-12-2025</w:t>
          </w:r>
        </w:p>
        <w:p>
          <w:pPr>
            <w:jc w:val="center"/>
            <w:spacing w:before="0" w:after="70"/>
          </w:pPr>
          <w:r>
            <w:rPr>
              <w:rFonts w:ascii="Arial" w:hAnsi="Arial" w:eastAsia="Arial" w:cs="Arial"/>
              <w:sz w:val="16"/>
              <w:szCs w:val="16"/>
            </w:rPr>
            <w:t xml:space="preserve">a las 10:42 hrs.</w:t>
          </w:r>
        </w:p>
      </w:tc>
      <w:tc>
        <w:tcPr>
          <w:tcW w:w="1700.787401574803" w:type="dxa"/>
          <w:vAlign w:val="center"/>
          <w:tcBorders>
            <w:top w:val="single" w:sz="0" w:color="000000"/>
            <w:left w:val="single" w:sz="0" w:color="000000"/>
            <w:right w:val="single" w:sz="0" w:color="000000"/>
            <w:bottom w:val="single" w:sz="0" w:color="000000"/>
          </w:tcBorders>
          <w:shd w:val="clear" w:fill="000000"/>
        </w:tcPr>
        <w:p>
          <w:pPr>
            <w:jc w:val="center"/>
          </w:pPr>
          <w:r>
            <w:rPr>
              <w:rFonts w:ascii="Arial" w:hAnsi="Arial" w:eastAsia="Arial" w:cs="Arial"/>
              <w:sz w:val="20"/>
              <w:szCs w:val="20"/>
            </w:rPr>
            <w:t xml:space="preserve">Página </w:t>
          </w:r>
          <w:r>
            <w:fldChar w:fldCharType="begin"/>
          </w:r>
          <w:r>
            <w:rPr>
              <w:rFonts w:ascii="Arial" w:hAnsi="Arial" w:eastAsia="Arial" w:cs="Arial"/>
              <w:sz w:val="20"/>
              <w:szCs w:val="20"/>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612.59842519685" w:type="dxa"/>
      <w:gridCol w:w="5612.59842519685" w:type="dxa"/>
    </w:tblGrid>
    <w:tblPr>
      <w:jc w:val="center"/>
      <w:tblW w:w="11225.1968503937" w:type="auto"/>
      <w:tblLayout w:type="autofit"/>
      <w:bidiVisual w:val="0"/>
      <w:tblCellMar>
        <w:top w:w="170.07874015748033" w:type="dxa"/>
        <w:left w:w="170.07874015748033" w:type="dxa"/>
        <w:right w:w="170.07874015748033" w:type="dxa"/>
        <w:bottom w:w="170.07874015748033" w:type="dxa"/>
      </w:tblCellMar>
    </w:tblPr>
    <w:tr>
      <w:trPr/>
      <w:tc>
        <w:tcPr>
          <w:tcW w:w="5612.59842519685" w:type="dxa"/>
          <w:vAlign w:val="center"/>
          <w:tcBorders>
            <w:top w:val="single" w:sz="0" w:color="1b45a2"/>
            <w:left w:val="single" w:sz="0" w:color="1b45a2"/>
            <w:right w:val="single" w:sz="0" w:color="1b45a2"/>
            <w:bottom w:val="single" w:sz="0" w:color="1b45a2"/>
          </w:tcBorders>
          <w:shd w:val="clear" w:fill="1f8564"/>
        </w:tcPr>
        <w:p>
          <w:pPr/>
          <w:r>
            <w:pict>
              <v:shape type="#_x0000_t75" stroked="f" style="width:100pt; height:44.334975369458pt; margin-left:0pt; margin-top:0pt; mso-position-horizontal:left; mso-position-vertical:top; mso-position-horizontal-relative:char; mso-position-vertical-relative:line;">
                <w10:wrap type="inline"/>
                <v:imagedata r:id="rId1" o:title=""/>
              </v:shape>
            </w:pict>
          </w:r>
        </w:p>
      </w:tc>
      <w:tc>
        <w:tcPr>
          <w:tcW w:w="5612.59842519685" w:type="dxa"/>
          <w:vAlign w:val="center"/>
          <w:tcBorders>
            <w:top w:val="single" w:sz="0" w:color="1b45a2"/>
            <w:left w:val="single" w:sz="0" w:color="1b45a2"/>
            <w:right w:val="single" w:sz="0" w:color="1b45a2"/>
            <w:bottom w:val="single" w:sz="0" w:color="1b45a2"/>
          </w:tcBorders>
          <w:shd w:val="clear" w:fill="1f8564"/>
        </w:tcPr>
        <w:p>
          <w:pPr>
            <w:jc w:val="right"/>
          </w:pPr>
          <w:r>
            <w:pict>
              <v:shape type="#_x0000_t75" stroked="f" style="width:55pt; height:25.47131147541pt; margin-left:0pt; margin-top:0pt; mso-position-horizontal:left; mso-position-vertical:top; mso-position-horizontal-relative:char; mso-position-vertical-relative:line;">
                <w10:wrap type="inline"/>
                <v:imagedata r:id="rId2"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S-E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S-E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2025-12-09T10:42:13-03:00</dcterms:created>
  <dcterms:modified xsi:type="dcterms:W3CDTF">2025-12-09T10:42:13-03:00</dcterms:modified>
</cp:coreProperties>
</file>

<file path=docProps/custom.xml><?xml version="1.0" encoding="utf-8"?>
<Properties xmlns="http://schemas.openxmlformats.org/officeDocument/2006/custom-properties" xmlns:vt="http://schemas.openxmlformats.org/officeDocument/2006/docPropsVTypes"/>
</file>