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1055.11811023622" w:type="dxa"/>
      </w:tblGrid>
      <w:tblPr>
        <w:tblW w:w="11055.11811023622" w:type="auto"/>
        <w:tblLayout w:type="autofit"/>
        <w:bidiVisual w:val="0"/>
      </w:tblPr>
      <w:tr>
        <w:trPr/>
        <w:tc>
          <w:tcPr>
            <w:tcW w:w="11055.11811023622" w:type="dxa"/>
          </w:tcPr>
          <w:p>
            <w:pPr>
              <w:jc w:val="center"/>
            </w:pPr>
            <w:r>
              <w:rPr>
                <w:rFonts w:ascii="Arial" w:hAnsi="Arial" w:eastAsia="Arial" w:cs="Arial"/>
                <w:sz w:val="40"/>
                <w:szCs w:val="40"/>
                <w:b w:val="1"/>
                <w:bCs w:val="1"/>
              </w:rPr>
              <w:t xml:space="preserve">TRIBUNALES</w:t>
            </w:r>
          </w:p>
        </w:tc>
      </w:tr>
    </w:tbl>
    <w:tbl>
      <w:tblGrid>
        <w:gridCol w:w="8503.937007874016" w:type="dxa"/>
        <w:gridCol w:w="2551.1811023622045" w:type="dxa"/>
      </w:tblGrid>
      <w:tblPr>
        <w:tblW w:w="11055.11811023622" w:type="auto"/>
        <w:tblLayout w:type="autofit"/>
        <w:bidiVisual w:val="0"/>
      </w:tblPr>
      <w:tr>
        <w:trPr/>
        <w:tc>
          <w:tcPr>
            <w:tcW w:w="8503.937007874016" w:type="dxa"/>
          </w:tcPr>
          <w:p>
            <w:pPr/>
            <w:r>
              <w:rPr>
                <w:rFonts w:ascii="Arial" w:hAnsi="Arial" w:eastAsia="Arial" w:cs="Arial"/>
                <w:sz w:val="22"/>
                <w:szCs w:val="22"/>
                <w:b w:val="0"/>
                <w:bCs w:val="0"/>
              </w:rPr>
              <w:t xml:space="preserve">Caratulado:</w:t>
            </w:r>
          </w:p>
          <w:p>
            <w:pPr/>
            <w:r>
              <w:rPr>
                <w:rFonts w:ascii="Arial" w:hAnsi="Arial" w:eastAsia="Arial" w:cs="Arial"/>
                <w:sz w:val="40"/>
                <w:szCs w:val="40"/>
                <w:b w:val="1"/>
                <w:bCs w:val="1"/>
              </w:rPr>
              <w:t xml:space="preserve">ACEVEDO/SERVICIO DE SALUD VIÑA DEL MAR-QUILLOTA</w:t>
            </w:r>
          </w:p>
        </w:tc>
        <w:tc>
          <w:tcPr>
            <w:tcW w:w="2551.1811023622045" w:type="dxa"/>
          </w:tcPr>
          <w:p>
            <w:pPr/>
            <w:r>
              <w:rPr>
                <w:rFonts w:ascii="Arial" w:hAnsi="Arial" w:eastAsia="Arial" w:cs="Arial"/>
                <w:sz w:val="22"/>
                <w:szCs w:val="22"/>
                <w:b w:val="0"/>
                <w:bCs w:val="0"/>
              </w:rPr>
              <w:t xml:space="preserve">Rol:</w:t>
            </w:r>
          </w:p>
          <w:p>
            <w:pPr/>
            <w:r>
              <w:rPr>
                <w:rFonts w:ascii="Arial" w:hAnsi="Arial" w:eastAsia="Arial" w:cs="Arial"/>
                <w:sz w:val="40"/>
                <w:szCs w:val="40"/>
                <w:b w:val="1"/>
                <w:bCs w:val="1"/>
              </w:rPr>
              <w:t xml:space="preserve">O-563-2020</w:t>
            </w:r>
          </w:p>
        </w:tc>
      </w:tr>
    </w:tbl>
    <w:tbl>
      <w:tblGrid>
        <w:gridCol w:w="11055.11811023622" w:type="dxa"/>
      </w:tblGrid>
      <w:tblPr>
        <w:jc w:val="center"/>
        <w:tblW w:w="11055.11811023622" w:type="auto"/>
        <w:tblLayout w:type="autofit"/>
        <w:bidiVisual w:val="0"/>
      </w:tblPr>
      <w:tr>
        <w:trPr/>
        <w:tc>
          <w:tcPr>
            <w:tcW w:w="11055.11811023622" w:type="dxa"/>
            <w:tcBorders>
              <w:top w:val="single" w:sz="0" w:color="FFFFFF"/>
              <w:left w:val="single" w:sz="0" w:color="FFFFFF"/>
              <w:right w:val="single" w:sz="0" w:color="FFFFFF"/>
              <w:bottom w:val="single" w:sz="0" w:color="FFFFFF"/>
            </w:tcBorders>
          </w:tcPr>
          <w:tbl>
            <w:tblGrid>
              <w:gridCol w:w="1508.0314960629923" w:type="dxa"/>
              <w:gridCol w:w="6032.125984251969" w:type="dxa"/>
            </w:tblGrid>
            <w:tblPr>
              <w:jc w:val="center"/>
              <w:tblW w:w="7540.1574803149615" w:type="auto"/>
              <w:tblLayout w:type="autofit"/>
              <w:bidiVisual w:val="0"/>
              <w:tblCellMar>
                <w:top w:w="170.07874015748033" w:type="dxa"/>
                <w:left w:w="170.07874015748033" w:type="dxa"/>
                <w:right w:w="170.07874015748033" w:type="dxa"/>
                <w:bottom w:w="170.07874015748033" w:type="dxa"/>
              </w:tblCellMar>
            </w:tblPr>
            <w:tr>
              <w:trPr/>
              <w:tc>
                <w:tcPr>
                  <w:tcW w:w="1508.0314960629923" w:type="dxa"/>
                  <w:vAlign w:val="center"/>
                  <w:tcBorders>
                    <w:top w:val="single" w:sz="28.346456692913385" w:color="FFFFFF"/>
                    <w:left w:val="single" w:sz="28.346456692913385" w:color="FFFFFF"/>
                    <w:right w:val="single" w:sz="28.346456692913385" w:color="FFFFFF"/>
                    <w:bottom w:val="single" w:sz="28.346456692913385" w:color="FFFFFF"/>
                  </w:tcBorders>
                  <w:shd w:val="clear" w:fill="D0E0EF"/>
                </w:tcPr>
                <w:p>
                  <w:pPr>
                    <w:spacing w:before="0" w:after="0"/>
                  </w:pPr>
                  <w:r>
                    <w:rPr>
                      <w:rFonts w:ascii="Arial" w:hAnsi="Arial" w:eastAsia="Arial" w:cs="Arial"/>
                      <w:sz w:val="22"/>
                      <w:szCs w:val="22"/>
                      <w:b w:val="0"/>
                      <w:bCs w:val="0"/>
                    </w:rPr>
                    <w:t xml:space="preserve">Fecha</w:t>
                  </w:r>
                </w:p>
              </w:tc>
              <w:tc>
                <w:tcPr>
                  <w:tcW w:w="6032.125984251969" w:type="dxa"/>
                  <w:vAlign w:val="center"/>
                  <w:tcBorders>
                    <w:top w:val="single" w:sz="28.346456692913385" w:color="FFFFFF"/>
                    <w:left w:val="single" w:sz="28.346456692913385" w:color="FFFFFF"/>
                    <w:right w:val="single" w:sz="28.346456692913385" w:color="FFFFFF"/>
                    <w:bottom w:val="single" w:sz="28.346456692913385" w:color="FFFFFF"/>
                  </w:tcBorders>
                  <w:shd w:val="clear" w:fill="DDDDDD"/>
                </w:tcPr>
                <w:p>
                  <w:pPr>
                    <w:spacing w:before="0" w:after="0"/>
                  </w:pPr>
                  <w:r>
                    <w:rPr>
                      <w:rFonts w:ascii="Arial" w:hAnsi="Arial" w:eastAsia="Arial" w:cs="Arial"/>
                      <w:sz w:val="22"/>
                      <w:szCs w:val="22"/>
                      <w:b w:val="0"/>
                      <w:bCs w:val="0"/>
                    </w:rPr>
                    <w:t xml:space="preserve">22-06-2023</w:t>
                  </w:r>
                </w:p>
              </w:tc>
            </w:tr>
            <w:tr>
              <w:trPr/>
              <w:tc>
                <w:tcPr>
                  <w:tcW w:w="1508.0314960629923" w:type="dxa"/>
                  <w:vAlign w:val="center"/>
                  <w:tcBorders>
                    <w:top w:val="single" w:sz="28.346456692913385" w:color="FFFFFF"/>
                    <w:left w:val="single" w:sz="28.346456692913385" w:color="FFFFFF"/>
                    <w:right w:val="single" w:sz="28.346456692913385" w:color="FFFFFF"/>
                    <w:bottom w:val="single" w:sz="28.346456692913385" w:color="FFFFFF"/>
                  </w:tcBorders>
                  <w:shd w:val="clear" w:fill="D0E0EF"/>
                </w:tcPr>
                <w:p>
                  <w:pPr>
                    <w:spacing w:before="0" w:after="0"/>
                  </w:pPr>
                  <w:r>
                    <w:rPr>
                      <w:rFonts w:ascii="Arial" w:hAnsi="Arial" w:eastAsia="Arial" w:cs="Arial"/>
                      <w:sz w:val="22"/>
                      <w:szCs w:val="22"/>
                      <w:b w:val="0"/>
                      <w:bCs w:val="0"/>
                    </w:rPr>
                    <w:t xml:space="preserve">Tribunal</w:t>
                  </w:r>
                </w:p>
              </w:tc>
              <w:tc>
                <w:tcPr>
                  <w:tcW w:w="6032.125984251969" w:type="dxa"/>
                  <w:vAlign w:val="center"/>
                  <w:tcBorders>
                    <w:top w:val="single" w:sz="28.346456692913385" w:color="FFFFFF"/>
                    <w:left w:val="single" w:sz="28.346456692913385" w:color="FFFFFF"/>
                    <w:right w:val="single" w:sz="28.346456692913385" w:color="FFFFFF"/>
                    <w:bottom w:val="single" w:sz="28.346456692913385" w:color="FFFFFF"/>
                  </w:tcBorders>
                  <w:shd w:val="clear" w:fill="DDDDDD"/>
                </w:tcPr>
                <w:p>
                  <w:pPr>
                    <w:spacing w:before="0" w:after="0"/>
                  </w:pPr>
                  <w:r>
                    <w:rPr>
                      <w:rFonts w:ascii="Arial" w:hAnsi="Arial" w:eastAsia="Arial" w:cs="Arial"/>
                      <w:sz w:val="22"/>
                      <w:szCs w:val="22"/>
                      <w:b w:val="0"/>
                      <w:bCs w:val="0"/>
                    </w:rPr>
                    <w:t xml:space="preserve">Juzgado de Letras del Trabajo de Valparaíso</w:t>
                  </w:r>
                </w:p>
              </w:tc>
            </w:tr>
            <w:tr>
              <w:trPr/>
              <w:tc>
                <w:tcPr>
                  <w:tcW w:w="1508.0314960629923" w:type="dxa"/>
                  <w:vAlign w:val="center"/>
                  <w:tcBorders>
                    <w:top w:val="single" w:sz="28.346456692913385" w:color="FFFFFF"/>
                    <w:left w:val="single" w:sz="28.346456692913385" w:color="FFFFFF"/>
                    <w:right w:val="single" w:sz="28.346456692913385" w:color="FFFFFF"/>
                    <w:bottom w:val="single" w:sz="28.346456692913385" w:color="FFFFFF"/>
                  </w:tcBorders>
                  <w:shd w:val="clear" w:fill="D0E0EF"/>
                </w:tcPr>
                <w:p>
                  <w:pPr>
                    <w:spacing w:before="0" w:after="0"/>
                  </w:pPr>
                  <w:r>
                    <w:rPr>
                      <w:rFonts w:ascii="Arial" w:hAnsi="Arial" w:eastAsia="Arial" w:cs="Arial"/>
                      <w:sz w:val="22"/>
                      <w:szCs w:val="22"/>
                      <w:b w:val="0"/>
                      <w:bCs w:val="0"/>
                    </w:rPr>
                    <w:t xml:space="preserve">Materia</w:t>
                  </w:r>
                </w:p>
              </w:tc>
              <w:tc>
                <w:tcPr>
                  <w:tcW w:w="6032.125984251969" w:type="dxa"/>
                  <w:vAlign w:val="center"/>
                  <w:tcBorders>
                    <w:top w:val="single" w:sz="28.346456692913385" w:color="FFFFFF"/>
                    <w:left w:val="single" w:sz="28.346456692913385" w:color="FFFFFF"/>
                    <w:right w:val="single" w:sz="28.346456692913385" w:color="FFFFFF"/>
                    <w:bottom w:val="single" w:sz="28.346456692913385" w:color="FFFFFF"/>
                  </w:tcBorders>
                  <w:shd w:val="clear" w:fill="DDDDDD"/>
                </w:tcPr>
                <w:p>
                  <w:pPr>
                    <w:spacing w:before="0" w:after="0"/>
                  </w:pPr>
                  <w:r>
                    <w:rPr>
                      <w:rFonts w:ascii="Arial" w:hAnsi="Arial" w:eastAsia="Arial" w:cs="Arial"/>
                      <w:sz w:val="22"/>
                      <w:szCs w:val="22"/>
                      <w:b w:val="0"/>
                      <w:bCs w:val="0"/>
                    </w:rPr>
                    <w:t xml:space="preserve">Costas, Cotizaciones de Salud, Cotizaciones del Seguro de Cesantía, Cotizaciones Previsionales, Despido injustificado, Feriado proporcional, Indemnización por años de servicios, Indemnización sustitutiva de aviso previo, Nulidad del despido, Reajustes e intereses, Recargos</w:t>
                  </w:r>
                </w:p>
              </w:tc>
            </w:tr>
          </w:tbl>
          <w:p/>
        </w:tc>
      </w:tr>
    </w:tbl>
    <w:p>
      <w:r>
        <w:br w:type="page"/>
      </w:r>
    </w:p>
    <w:p>
      <w:pPr>
        <w:jc w:val="both"/>
      </w:pPr>
      <w:r>
        <w:rPr>
          <w:rFonts w:ascii="Arial" w:hAnsi="Arial" w:eastAsia="Arial" w:cs="Arial"/>
          <w:sz w:val="24"/>
          <w:szCs w:val="24"/>
        </w:rPr>
        <w:t xml:space="preserve">Valparaíso, veintidós de junio de dos mil veintitrés.</w:t>
      </w:r>
    </w:p>
    <w:p>
      <w:pPr>
        <w:jc w:val="both"/>
      </w:pPr>
      <w:r>
        <w:rPr>
          <w:rFonts w:ascii="Arial" w:hAnsi="Arial" w:eastAsia="Arial" w:cs="Arial"/>
          <w:sz w:val="24"/>
          <w:szCs w:val="24"/>
        </w:rPr>
        <w:t xml:space="preserve">VISTOS:</w:t>
      </w:r>
    </w:p>
    <w:p>
      <w:pPr>
        <w:jc w:val="both"/>
      </w:pPr>
      <w:r>
        <w:rPr>
          <w:rFonts w:ascii="Arial" w:hAnsi="Arial" w:eastAsia="Arial" w:cs="Arial"/>
          <w:sz w:val="24"/>
          <w:szCs w:val="24"/>
        </w:rPr>
        <w:t xml:space="preserve">Que, a folio 1, con fecha 09 de abril de 2020, comparece don Sergio Antonio Perez Roa, Abogado, en nombre y representación, según acreditará, de doña Marcela Del Carmen Acevedo Cuevas, ingeniero en prevención de riesgos, quien deduce demanda en procedimiento ordinario laboral de despido injustificado, reconocimiento de relación laboral indefinida, nulidad del despido y cobro de prestaciones, solicitando se ordene el pago de las indemnizaciones adeudadas, en contra de la ex empleadora de su representada, Servicio De Salud Viña Del Mar Quillota, persona jurídica de derecho público, representada legalmente de conformidad a lo dispuesto en el artículo 4 del Código del Trabajo por su Director Subrogante don Alfredo Molina Naves, ignora profesión u oficio, todos debidamente individualizados, y que solicita, se declare que entre la demandada Servicio de Salud Viña del Mar Quillota y Marcela del Carmen Acevedo Cuevas existió una relación laboral entre el día 1° de julio de 2016 y el 29 de febrero de 2020, bajo las características que se derivan de la definición de contrato de trabajo, consignada en el artículo 7° del Código del Trabajo.</w:t>
      </w:r>
    </w:p>
    <w:p>
      <w:pPr>
        <w:jc w:val="both"/>
      </w:pPr>
      <w:r>
        <w:rPr>
          <w:rFonts w:ascii="Arial" w:hAnsi="Arial" w:eastAsia="Arial" w:cs="Arial"/>
          <w:sz w:val="24"/>
          <w:szCs w:val="24"/>
        </w:rPr>
        <w:t xml:space="preserve">Además, en virtud de lo expuesto, solicita se declare la continuidad de los servicios prestados por la demandante a favor del Servicio de Salud Viña del Mar – Quillota, desde el día 1° de julio de 2016 hasta el 29 de febrero de 2020 y, que, con motivo del despido ilegal y arbitrario del que he sido víctima, la demandada le adeuda las siguientes prestaciones: 1.- Indemnización sustitutiva del aviso previo por la suma de $2.090.700.- 2.- Indemnización por años de servicio, correspondientes a 4 años, por la suma de $8.362.800.- 3.- Recargo por aplicación de lo dispuesto en la letra b) del artículo 168 del Código del Trabajo, equivalente al 50% de las indemnizaciones por años de servicio, por la suma de $4.181.400.- 4.- Feriado proporcional por la suma de $313.605. 5.- Que se declare la nulidad del despido y se ordene a la demandada efectuar el pago de la totalidad de las cotizaciones previsionales de AFP, Fonasa o Isapre, AFC, durante todo el periodo que duró la relación laboral. 6.- Que, al declararse la nulidad del despido, se ordene a la demandada el pago de la totalidad de las remuneraciones que se devenguen a contar del término de la relación laboral y hasta que se produzca la efectiva convalidación del despido, mediante el pago total de las cotizaciones previsionales adeudadas, todo ello de conformidad a lo dispuesto en el inciso 5°, 6° y 7° del artículo 162 del Código del Trabajo. 7.- Que la totalidad de las indemnizaciones y prestaciones reclamadas se paguen con los reajustes e intereses legales que procedan, de conformidad con lo dispuesto en los artículos 63 y 173 del Código del Trabajo y con expresa y ejemplar condena en costas de la demandada.</w:t>
      </w:r>
    </w:p>
    <w:p>
      <w:pPr>
        <w:jc w:val="both"/>
      </w:pPr>
      <w:r>
        <w:rPr>
          <w:rFonts w:ascii="Arial" w:hAnsi="Arial" w:eastAsia="Arial" w:cs="Arial"/>
          <w:sz w:val="24"/>
          <w:szCs w:val="24"/>
        </w:rPr>
        <w:t xml:space="preserve">Que, a folio 5, con fecha 21 de abril de 2020, se notificó a la demandada Servicio de Salud Viña del Mar, Quillota.</w:t>
      </w:r>
    </w:p>
    <w:p>
      <w:pPr>
        <w:jc w:val="both"/>
      </w:pPr>
      <w:r>
        <w:rPr>
          <w:rFonts w:ascii="Arial" w:hAnsi="Arial" w:eastAsia="Arial" w:cs="Arial"/>
          <w:sz w:val="24"/>
          <w:szCs w:val="24"/>
        </w:rPr>
        <w:t xml:space="preserve">Que, a folio 11, con fecha 02 de diciembre de 2020, la demandada Servicio De Salud Viña Del Mar Quillota, compareció en autos, contestando la acción deducida en su contra, solicitando su rechazo en todas sus partes.</w:t>
      </w:r>
    </w:p>
    <w:p>
      <w:pPr>
        <w:jc w:val="both"/>
      </w:pPr>
      <w:r>
        <w:rPr>
          <w:rFonts w:ascii="Arial" w:hAnsi="Arial" w:eastAsia="Arial" w:cs="Arial"/>
          <w:sz w:val="24"/>
          <w:szCs w:val="24"/>
        </w:rPr>
        <w:t xml:space="preserve">Que, a folio 66, con fecha 16 de diciembre de 2020, se llevó a cabo audiencia preparatoria con la asistencia de ambas partes, oportunidad en que el tribunal llevó a cabo el llamado a conciliación, sin que ésta se produzca. Acto seguido se recibió la causa a prueba, fijando como puntos sobre los que va a recaer la controversia, los siguientes: 1. Efectividad que entre las partes existió relación laboral y, condiciones de esta última, conforme a lo señalado en el libelo. Fecha de inicio y de término, naturaleza de los servicios, jornada de trabajo, si es que la hubo y composición y monto de la remuneración percibida. 2. Si, la relación laboral terminó con el despido de la actora, en la forma como se alega en la demanda. Hechos y circunstancias que lo acrediten. 3. De ser efectivo lo anterior si, a la fecha del despido, se encontraban declaradas y enteradas, en tiempo y forma, las cotizaciones de seguridad social indicadas en el libelo. 4. De ser efectivo lo anterior, procedencia, periodos y montos específicos del feriado proporcional que se demanda.</w:t>
      </w:r>
    </w:p>
    <w:p>
      <w:pPr>
        <w:jc w:val="both"/>
      </w:pPr>
      <w:r>
        <w:rPr>
          <w:rFonts w:ascii="Arial" w:hAnsi="Arial" w:eastAsia="Arial" w:cs="Arial"/>
          <w:sz w:val="24"/>
          <w:szCs w:val="24"/>
        </w:rPr>
        <w:t xml:space="preserve">Luego de lo cual, las partes, ofrecieron sus medios probatorios y se fijó fecha para la audiencia de juicio.</w:t>
      </w:r>
    </w:p>
    <w:p>
      <w:pPr>
        <w:jc w:val="both"/>
      </w:pPr>
      <w:r>
        <w:rPr>
          <w:rFonts w:ascii="Arial" w:hAnsi="Arial" w:eastAsia="Arial" w:cs="Arial"/>
          <w:sz w:val="24"/>
          <w:szCs w:val="24"/>
        </w:rPr>
        <w:t xml:space="preserve">Que, con fecha 02 de noviembre de 2022, se llevó a efecto audiencia de juicio, oportunidad en que se incorporaron los medios de prueba hechos valer por las partes, se rindieron las observaciones a la prueba rendida y se fijó fecha para la notificación de la sentencia.</w:t>
      </w:r>
    </w:p>
    <w:p>
      <w:pPr>
        <w:jc w:val="both"/>
      </w:pPr>
      <w:r>
        <w:rPr>
          <w:rFonts w:ascii="Arial" w:hAnsi="Arial" w:eastAsia="Arial" w:cs="Arial"/>
          <w:sz w:val="24"/>
          <w:szCs w:val="24"/>
        </w:rPr>
        <w:t xml:space="preserve">CON LO RELACIONADO Y CONSIDERANDO:</w:t>
      </w:r>
    </w:p>
    <w:p>
      <w:pPr>
        <w:jc w:val="both"/>
      </w:pPr>
      <w:r>
        <w:rPr>
          <w:rFonts w:ascii="Arial" w:hAnsi="Arial" w:eastAsia="Arial" w:cs="Arial"/>
          <w:sz w:val="24"/>
          <w:szCs w:val="24"/>
        </w:rPr>
        <w:t xml:space="preserve">PRIMERO: Que, comparece don Sergio Antonio Pérez Roa, Abogado, en nombre y representación, de doña Marcela Del Carmen Acevedo Cuevas, ingeniero en prevención de riesgos, quien dedujo demanda en procedimiento ordinario laboral de despido injustificado, reconocimiento de relación laboral indefinida, nulidad del despido y cobro de prestaciones, solicitando se ordene el pago de las indemnizaciones adeudadas, en contra de la ex empleadora de su representada, Servicio De Salud Viña Del Mar Quillota, persona jurídica de derecho público, representada legalmente de conformidad a lo dispuesto en el artículo 4 del Código del Trabajo por su Director Subrogante don ALFREDO MOLINA NAVES, todos ya individualizados, demanda que funda en las consideraciones de hecho y derecho que expone.</w:t>
      </w:r>
    </w:p>
    <w:p>
      <w:pPr>
        <w:jc w:val="both"/>
      </w:pPr>
      <w:r>
        <w:rPr>
          <w:rFonts w:ascii="Arial" w:hAnsi="Arial" w:eastAsia="Arial" w:cs="Arial"/>
          <w:sz w:val="24"/>
          <w:szCs w:val="24"/>
        </w:rPr>
        <w:t xml:space="preserve">En cuanto a los hechos, señala que: Su representada comenzó a prestar servicios, bajo un vínculo de subordinación y dependencia, a favor de la demandada SERVICIO DE SALUD VIÑA DEL MAR QUILLOTA a partir del 01 de julio de 2016 hasta el 29 de febrero de 2020, fecha en la cual fue despedida injustificadamente de sus funciones.</w:t>
      </w:r>
    </w:p>
    <w:p>
      <w:pPr>
        <w:jc w:val="both"/>
      </w:pPr>
      <w:r>
        <w:rPr>
          <w:rFonts w:ascii="Arial" w:hAnsi="Arial" w:eastAsia="Arial" w:cs="Arial"/>
          <w:sz w:val="24"/>
          <w:szCs w:val="24"/>
        </w:rPr>
        <w:t xml:space="preserve">Que, Las funciones que desarrolló para el SSVQ durante todo el todo el tiempo en que prestó sus servicios consistían, en general en asesorar al Inspector técnico de Obra (ITO) en materia de Seguridad, Salud Ocupacional y Medio Ambiente en la ejecución del Proyecto en construcción Normalización Hospital Gustavo Fricke de Viña del Mar.</w:t>
      </w:r>
    </w:p>
    <w:p>
      <w:pPr>
        <w:jc w:val="both"/>
      </w:pPr>
      <w:r>
        <w:rPr>
          <w:rFonts w:ascii="Arial" w:hAnsi="Arial" w:eastAsia="Arial" w:cs="Arial"/>
          <w:sz w:val="24"/>
          <w:szCs w:val="24"/>
        </w:rPr>
        <w:t xml:space="preserve">En específico, afirma que las funciones que le correspondían contractualmente eran las siguientes: Supervisión documental diaria al contratista y subcontratista, con la finalidad de verificar el cumplimiento de la normativa legal vigente y bases del proyecto, asociadas a la seguridad, salud ocupacional y medio ambiente; Realización de auditorías semanales programadas al proyecto, a través del Departamento de Prevención de riesgos y Jefatura de Obras Civiles de la Empresa Constructora; Realización de inspecciones y observaciones diarias de la obra para verificar el cumplimiento normativo en materia de seguridad, salud ocupacional y medio ambiente; Coordinación y comunicación de faenas y/o actividades con el Hospital Dr. Gustavo Fricke; Gestión y coordinación de la implementación de medidas de mitigación necesarias para la prevención de riesgos físicos, químicos y biológicos para los servicios y/o unidades que se encuentran en funcionamiento de cercano a la obra; Inducción de riesgos laborales para hombre nuevo y visitas del proyecto, conforme a lo establecido en la normativa legal vigente; Participación en actividades (visitas al proyecto), con la finalidad de prevenir accidentes durante dichas visitas; Verificación diaria del cumplimiento de la seguridad vial de la obra; Verificación diaria del cumplimiento del control de accesos de la obra; Revisión de requerimientos normativos asociados al uso de plataformas de trabajo móviles y estacionarias, andamios y/o escala, para la ejecución de obras; Supervisión de la correcta utilización de las maquinarias, herramientas y equipos; Revisión de informe mensual presentado por la Empresa Constructora Obrascón Huarte Lain, S.A. Agencia en Chile; Revisión de informe mensual entregado por la empresa asesora AITO, Inspecta S.A; Revisión y análisis de instructivos, procedimientos, planes y/o programas de trabajo en materia de seguridad, salud ocupacional y medio ambiente; Supervisión del correcto funcionamiento de los comités paritarios de higiene y seguridad, tanto el de faena como el de los subcontratos; Confección y entrega de informe estadístico de accidentes de obra al Servicio de Salud Viña del Mar- Quillota; Seguimiento de los servicios no Conformes que se emiten en materia de seguridad, salud ocupacional y medio ambiente; Realizar reuniones con profesionales del departamento de Higiene y Seguridad del SSVQ.</w:t>
      </w:r>
    </w:p>
    <w:p>
      <w:pPr>
        <w:jc w:val="both"/>
      </w:pPr>
      <w:r>
        <w:rPr>
          <w:rFonts w:ascii="Arial" w:hAnsi="Arial" w:eastAsia="Arial" w:cs="Arial"/>
          <w:sz w:val="24"/>
          <w:szCs w:val="24"/>
        </w:rPr>
        <w:t xml:space="preserve">Afirma que, fuera de esas obligaciones también tenía otras funciones establecidas, las cuales eran: Revisión de la documentación especifica de prevención de riesgos de todos los estados de pagos presentados por la empresa constructora; Gestionar el retiro de los residuos peligros generados por la obra; Confección y seguimiento de notas en libro de obra y memorándum; Participación y coordinación de grabaciones de avance de obra que realizaba en departamento de comunicaciones del Hospital Dr. Gustavo Fricke; Coordinación y participación de descarga de materiales y equipos del Subdepartamento de equipos médicos y Industriales de la SDI; Revisión y aprobación de la documentación de ingreso a obra de los proveedores de equipamiento médico y industrial; Participación en reunión de Obra; Participación y coordinación de visitas de funcionarios de todo el SSVQ, incluyendo los del Hospital Dr. Gustavo Fricke; Cualquier otra tarea que fuera encomendada por su jefatura.</w:t>
      </w:r>
    </w:p>
    <w:p>
      <w:pPr>
        <w:jc w:val="both"/>
      </w:pPr>
      <w:r>
        <w:rPr>
          <w:rFonts w:ascii="Arial" w:hAnsi="Arial" w:eastAsia="Arial" w:cs="Arial"/>
          <w:sz w:val="24"/>
          <w:szCs w:val="24"/>
        </w:rPr>
        <w:t xml:space="preserve">Agrega que, todas esas funciones que le eran encomendadas directamente por su superior jerárquico, las desarrolló mediante múltiples contratos a honorarios, los que disfrazaban y ocultaban en definitiva la existencia de un contrato de trabajo.</w:t>
      </w:r>
    </w:p>
    <w:p>
      <w:pPr>
        <w:jc w:val="both"/>
      </w:pPr>
      <w:r>
        <w:rPr>
          <w:rFonts w:ascii="Arial" w:hAnsi="Arial" w:eastAsia="Arial" w:cs="Arial"/>
          <w:sz w:val="24"/>
          <w:szCs w:val="24"/>
        </w:rPr>
        <w:t xml:space="preserve">Hace presente que su jefatura directa siempre fue el profesional que ocupara el cargo de Inspector Técnico de Obras (ITO) y, que, sus obligaciones laborales se ejecutaban principalmente conforme a los convenios firmados, de carácter sucesivo y anual, los cuales tenían una vigencia desde el 01 de enero al 31 de diciembre de cada año, exceptuando el convenio del primer y el del último periodo, rigiendo el primero desde el 01 de julio de 2016 hasta el 31 de diciembre de 2016 y el último, el cual tuvo una vigencia desde el 01 de enero del año 2020 al 29 de febrero del año 2020.</w:t>
      </w:r>
    </w:p>
    <w:p>
      <w:pPr>
        <w:jc w:val="both"/>
      </w:pPr>
      <w:r>
        <w:rPr>
          <w:rFonts w:ascii="Arial" w:hAnsi="Arial" w:eastAsia="Arial" w:cs="Arial"/>
          <w:sz w:val="24"/>
          <w:szCs w:val="24"/>
        </w:rPr>
        <w:t xml:space="preserve">Precisa que el 19 de febrero de 2020 ya se encontraba en conversaciones previas con el ITO para extender su contrato, tal como había sucedido con el resto de sus colegas. Sin embargo, en esa fecha se le indica que el Subdirector de la Subdirección de Desarrollo Institucional (SDI), Sr. Eduardo González, no había aprobado la extensión de su contrato. Al mismo y sin dar una respuesta técnica, se le señala que se había considerado que simplemente la “chica de equipamiento médico” Sra. Rosa Casanova le prestaría apoyo en prevención de riesgos al ITO, ya que ella era técnico en prevención de riesgos. Destaca que, ella fue contratada por el Servicio para el Subdepartamento de Equipos Médicos e Industriales para realizar la recopilación de documentos de prevención de riesgos de todos los proveedores de equipos médicos que querían ingresar a realizar faenas de ejecución al proyecto, todo ello para cumplir con la legislación aplicable de ley de subcontratación principalmente. Dicha documentación tenía que ser validada y aprobada por su representada, en su calidad de ingeniero en prevención de riesgos, para que el proveedor pudiera hacer ingreso a la obra. Eso era todo lo que la Sra. Casanova realizaba en materia de prevención de riesgos desde que ingreso a trabajar al SSVQ, a mediados del 2019 aproximadamente, y aun así se determinó que la labor de su representada no era necesaria para el Servicio y que su cargo sería suplido por dicho técnico.</w:t>
      </w:r>
    </w:p>
    <w:p>
      <w:pPr>
        <w:jc w:val="both"/>
      </w:pPr>
      <w:r>
        <w:rPr>
          <w:rFonts w:ascii="Arial" w:hAnsi="Arial" w:eastAsia="Arial" w:cs="Arial"/>
          <w:sz w:val="24"/>
          <w:szCs w:val="24"/>
        </w:rPr>
        <w:t xml:space="preserve">Complementa su alegación, en el sentido que durante todo el tiempo que prestó servicios para la demandada, desempeñó un cargo evidentemente estable, permanente e indispensable en la organización jerárquica del servicio, siendo sujeta a jornadas de trabajo claramente determinadas, sujeto al poder de mando de sus superiores y a su vez, al deber de obediencia en el ámbito laboral. Que, al mismo tiempo, durante toda la extensión de su relación laboral nunca fue objeto de reclamos ni amonestaciones de ninguna especie, sino qué, por el contrario, constantemente se aumentaban sus tareas, sus obligaciones y responsabilidades y es por ello que año tras año seguía siendo “recontratada”.</w:t>
      </w:r>
    </w:p>
    <w:p>
      <w:pPr>
        <w:jc w:val="both"/>
      </w:pPr>
      <w:r>
        <w:rPr>
          <w:rFonts w:ascii="Arial" w:hAnsi="Arial" w:eastAsia="Arial" w:cs="Arial"/>
          <w:sz w:val="24"/>
          <w:szCs w:val="24"/>
        </w:rPr>
        <w:t xml:space="preserve">Añade que, con fecha 19 de febrero de 2020, se le comunicó por su superior jerárquico de que el Subdirector no aprobaba su continuidad y que por ello no se le renovaría su contrato, quedando despedida a contar del 29 de febrero de 2020, y que a su parece, dicho despido efectuado por la demandada habría sido abiertamente irregular, puesto que tal como pretende acreditar en la oportunidad procesal respectiva, ello carece de todo requisito legal. En tal sentido, no se habría señalado con exactitud ni claridad los hechos ni las causales por las cuales se puso término a su relación laboral, ni tampoco se habría expresado ninguna de las causales legales contenidas en el Código del Trabajo, infringiendo con ello el inciso primero del artículo 162, ni tampoco se acreditaría el pago de las cotizaciones previsionales durante todo el periodo de la relación laboral, entre otras irregularidades. Menciona que los servicios finalizarían a contar de dicho 29 de febrero de 2020, produciéndose la separación efectiva en dicha oportunidad, sin que se expresara la razón de su despido ni tampoco se evidenciaba el estado de pago de sus cotizaciones previsionales.</w:t>
      </w:r>
    </w:p>
    <w:p>
      <w:pPr>
        <w:jc w:val="both"/>
      </w:pPr>
      <w:r>
        <w:rPr>
          <w:rFonts w:ascii="Arial" w:hAnsi="Arial" w:eastAsia="Arial" w:cs="Arial"/>
          <w:sz w:val="24"/>
          <w:szCs w:val="24"/>
        </w:rPr>
        <w:t xml:space="preserve">En consecuencia y conforme a lo señalado en el inciso primero del artículo 168 del Código del Trabajo, el despido debe entenderse realizado sin “expresión de causa legal” y por tal razón debe ser condenada su ex empleadora al pago de las indemnizaciones contempladas en el artículo 162 inciso 4° y 163 inciso 2°, más el recargo expresado en la letra b) del inciso 1° del artículo 168 del Código del Trabajo.</w:t>
      </w:r>
    </w:p>
    <w:p>
      <w:pPr>
        <w:jc w:val="both"/>
      </w:pPr>
      <w:r>
        <w:rPr>
          <w:rFonts w:ascii="Arial" w:hAnsi="Arial" w:eastAsia="Arial" w:cs="Arial"/>
          <w:sz w:val="24"/>
          <w:szCs w:val="24"/>
        </w:rPr>
        <w:t xml:space="preserve">En cuanto a los antecedentes de la existencia de la relación laboral, señala que: nunca fue contratada como funcionaria en ninguna de las categorías contempladas en la Ley 18.834, debido a que no ingresó a prestar servicios en ninguna de las condiciones que se contienen en dicha norma: planta, contrata o suplente, que, a su vez, siendo persona natural, tampoco estuvo sometida a un estatuto especial de aquellos que se aplican en la institución.</w:t>
      </w:r>
    </w:p>
    <w:p>
      <w:pPr>
        <w:jc w:val="both"/>
      </w:pPr>
      <w:r>
        <w:rPr>
          <w:rFonts w:ascii="Arial" w:hAnsi="Arial" w:eastAsia="Arial" w:cs="Arial"/>
          <w:sz w:val="24"/>
          <w:szCs w:val="24"/>
        </w:rPr>
        <w:t xml:space="preserve">Explica que, conforme a lo anterior y a pesar de las labores genéricas descritas anteriormente por las cuales prestó servicios, se le contrató bajo la norma contemplada en el artículo 10 de la Ley 18.834, esto es, aquella que permite la contratación sobre la base de honorarios a profesionales y técnicos de educación expertos en determinadas materias, hace mención a dicha normativa, la que establece ciertas exigencias adicionales para que pueda procederse a este estilo de contratación, las cuales son: 1. Que se trate de labores accidentales. 2. Que no se trate de labores habituales. 3. Que se trate de cometidos específicos. Por lo que, si se analizarán las labores desarrolladas durante el curso de su relación laboral, sería menester destacar que estas jamás fueron accidentales, ni tampoco se trató de labores no habituales de la institución demandada, puesto que como pretende acreditar en lo sucesivo, la relación con su ex empleadora se llevó a cabo fuera del marco estatutario que impone el artículo 10 de la Ley 18.834, siendo por ende totalmente aplicable el Código del Trabajo a esta relación de real subordinación y dependencia.</w:t>
      </w:r>
    </w:p>
    <w:p>
      <w:pPr>
        <w:jc w:val="both"/>
      </w:pPr>
      <w:r>
        <w:rPr>
          <w:rFonts w:ascii="Arial" w:hAnsi="Arial" w:eastAsia="Arial" w:cs="Arial"/>
          <w:sz w:val="24"/>
          <w:szCs w:val="24"/>
        </w:rPr>
        <w:t xml:space="preserve">Así las cosas, se tratarían de servicios prestados durante un extenso periodo de tiempo, realizando los mismos servicios bajo las características esenciales propias de un contrato de trabajo, con cometidos genéricos, permanentes en el tiempo y desplegados en forma ininterrumpida. Por ende, resultaría claro que las funciones desarrolladas por su representada a favor de su ex empleadora no reúnen las exigencias del artículo 10 de la Ley 18.834, norma de carácter excepcional, interpretable sólo en sentido estricto y que considera dichas exigencias solo para aceptar la existencia de un contrato de honorarios bajo dicha perspectiva, por lo que procedería establecer que su condición laboral corresponde a la regla general, esto es, una relación laboral propia de un contrato de trabajo regulada por el Código del Trabajo, al ser ésta la norma genérica respecto al vínculo que une a los trabajadores para con sus empleadores.</w:t>
      </w:r>
    </w:p>
    <w:p>
      <w:pPr>
        <w:jc w:val="both"/>
      </w:pPr>
      <w:r>
        <w:rPr>
          <w:rFonts w:ascii="Arial" w:hAnsi="Arial" w:eastAsia="Arial" w:cs="Arial"/>
          <w:sz w:val="24"/>
          <w:szCs w:val="24"/>
        </w:rPr>
        <w:t xml:space="preserve">Agrega que su representada prestó servicios a favor del Servicio de Salud Viña del Mar-Quillota, como ingeniero en prevención de riesgos, asesorando al Inspector Técnico de la Obra, en la revisión de la ejecución del proyecto Normalización Hospital Gustavo Fricke de Viña del Mar en materia de seguridad, salud ocupacional y medio ambiente y dicha función la desempeñó desde el 01 de julio de 2016 hasta el 29 de febrero de 2020, cargo que de toda notoriedad figuraría como habitual de la institución y que conforme a ello no pudo adoptar la forma de un contrato de arrendamiento de obra material ni de servicios.</w:t>
      </w:r>
    </w:p>
    <w:p>
      <w:pPr>
        <w:jc w:val="both"/>
      </w:pPr>
      <w:r>
        <w:rPr>
          <w:rFonts w:ascii="Arial" w:hAnsi="Arial" w:eastAsia="Arial" w:cs="Arial"/>
          <w:sz w:val="24"/>
          <w:szCs w:val="24"/>
        </w:rPr>
        <w:t xml:space="preserve">Hace referencia a que, en el contenido de un contrato a honorarios, el profesional presta sus servicios en forma independiente, a título de asesoría, consulta o investigación respecto de un trabajo o bien en función de una obra o proyecto determinados, que, sin embargo, en su caso prestó servicios a favor del Servicio durante 3 años y 8 meses, de forma constante, sujeto a una jornada de trabajo. De ahí que se puede entender que las labores las desempeñó en un plano de permanencia y en razón de una labor propia de la institución. En síntesis, la labor durante el tiempo de su contrato no correspondería, en la práctica, a la ejecución de labores específicas como consultorías o asesorías, sino que a una función sujeta a un vínculo de subordinación y dependencia.</w:t>
      </w:r>
    </w:p>
    <w:p>
      <w:pPr>
        <w:jc w:val="both"/>
      </w:pPr>
      <w:r>
        <w:rPr>
          <w:rFonts w:ascii="Arial" w:hAnsi="Arial" w:eastAsia="Arial" w:cs="Arial"/>
          <w:sz w:val="24"/>
          <w:szCs w:val="24"/>
        </w:rPr>
        <w:t xml:space="preserve">Adicionalmente a todo lo anterior, señala que, durante todo el periodo en que se extendió la relación laboral, fue objeto de instrucciones de parte de su empleador directo, encontrándose en la observancia de éste, tanto al inicio como al término del turno de trabajo y ejecutando, en la práctica, una serie de labores que se originaron en el poder de mando de su empleador, que dichas ordenes e instrucciones no es posible que sean minimizadas a simples lineamientos, puesto que justamente la práctica de dichas ordenes constituirían un claro ejemplo de existir un vínculo de subordinación y dependencia, siendo estas claras, precisas y ejercidas directamente sobre el trabajador, sin tener éste posibilidad alguna de negarse a ellas.</w:t>
      </w:r>
    </w:p>
    <w:p>
      <w:pPr>
        <w:jc w:val="both"/>
      </w:pPr>
      <w:r>
        <w:rPr>
          <w:rFonts w:ascii="Arial" w:hAnsi="Arial" w:eastAsia="Arial" w:cs="Arial"/>
          <w:sz w:val="24"/>
          <w:szCs w:val="24"/>
        </w:rPr>
        <w:t xml:space="preserve">Por lo tanto, continua, al existir entre las partes de este juicio, en los hechos, una relación laboral sujeta al vínculo de subordinación y dependencia, el trabajador no sólo tiene la obligación de asistir a prestar sus servicios, sino que también debe hacerlo de forma regular y periódica en las dependencias de la empresa, de manera tal que constituye una obligación el cumplir con la jornada de trabajo pactada en el contrato. En los hechos, cumplió con una jornada de trabajo pactada en el contrato de 44 horas semanales, distribuidas de lunes a viernes, teniendo incluso un libro de asistencia donde se dejaba constancia de la marcación de los horarios de entrada y salida graficado en las planillas de asistencia, lo que expresa a su vez la obligación de permanencia continua en las instalaciones de la demandada, todos supuestos indicios claros y patentes de un vínculo de subordinación y dependencia.</w:t>
      </w:r>
    </w:p>
    <w:p>
      <w:pPr>
        <w:jc w:val="both"/>
      </w:pPr>
      <w:r>
        <w:rPr>
          <w:rFonts w:ascii="Arial" w:hAnsi="Arial" w:eastAsia="Arial" w:cs="Arial"/>
          <w:sz w:val="24"/>
          <w:szCs w:val="24"/>
        </w:rPr>
        <w:t xml:space="preserve">Destaca que siempre se desempeñó, en todo momento, en las dependencias del Servicio y en terreno, en la inspección de la obra Normalización Hospital Gustavo Fricke de Viña del Mar, ubicada en Avenida Álvarez #1532 y en lugares designados por sus superiores, que era donde debía cumplir con sus funciones, de manera continua y extensiva durante un largo espacio de tiempo. No existiendo, por tanto, libertad en cuanto a la prestación de los servicios pactados.</w:t>
      </w:r>
    </w:p>
    <w:p>
      <w:pPr>
        <w:jc w:val="both"/>
      </w:pPr>
      <w:r>
        <w:rPr>
          <w:rFonts w:ascii="Arial" w:hAnsi="Arial" w:eastAsia="Arial" w:cs="Arial"/>
          <w:sz w:val="24"/>
          <w:szCs w:val="24"/>
        </w:rPr>
        <w:t xml:space="preserve">En cuanto al pago de los servicios, éste fue remunerada sobre la base de boletas electrónicas de honorarios a nombre del Servicio de Salud Viña del Mar Quillota, por el hecho de existir en papel un convenio de honorarios, mencionando que dicho monto lo recibía directamente del departamento de remuneraciones de la institución, por montos similares y de forma mensual durante toda la vigencia de la relación laboral, adoptando en la cotidianeidad la forma de una remuneración mensual encubierta en un “honorario”, el cual se pagaba previa convección, visación y aprobación de informes mensuales de gestión.</w:t>
      </w:r>
    </w:p>
    <w:p>
      <w:pPr>
        <w:jc w:val="both"/>
      </w:pPr>
      <w:r>
        <w:rPr>
          <w:rFonts w:ascii="Arial" w:hAnsi="Arial" w:eastAsia="Arial" w:cs="Arial"/>
          <w:sz w:val="24"/>
          <w:szCs w:val="24"/>
        </w:rPr>
        <w:t xml:space="preserve">A fin de probar la existencia de un contrato de trabajo, afirma que, no es suficiente acreditar la prestación de servicios personales, sino que es indispensable que ello vaya unido a la realización de estos servicios bajo subordinación y dependencia, elemento que se materializa cuando concurren diversas manifestaciones o elementos fácticos determinantes, tales como la obligación del trabajador de dedicar al desempeño de la faena convenida un espacio de tiempo significativo, como lo es la jornada de trabajo, el cumplimiento de un horario diario y semanal; o que el trabajo sea realizado bajo ciertas pautas de dirección y organización que imparte el supuesto empleador; todas las cuales se configuran y definen en cada caso concreto por las particularidades y modalidades que presente la prestación de servicios del trabajador. En la especie, entre las partes existió por un tiempo, un vínculo de subordinación y dependencia, lo cual queda demostrado a través de las extensas jornadas de trabajo de las que fue objeto y que consta también en los respectivos contratos, además de las órdenes impartidas por sus superiores directos, con la asistencia regular y extensiva en el tiempo en las dependencias del Servicio y demás lugares que se indicaron por sus jefaturas.</w:t>
      </w:r>
    </w:p>
    <w:p>
      <w:pPr>
        <w:jc w:val="both"/>
      </w:pPr>
      <w:r>
        <w:rPr>
          <w:rFonts w:ascii="Arial" w:hAnsi="Arial" w:eastAsia="Arial" w:cs="Arial"/>
          <w:sz w:val="24"/>
          <w:szCs w:val="24"/>
        </w:rPr>
        <w:t xml:space="preserve">Hace mención a que otro de los aspectos donde se encontraría claramente ejemplificado el hecho de que existe un vínculo de subordinación y dependencia se encontraría en que los servicios constantemente se prestaron en el mismo lugar físico, en dependencias del Hospital Gustavo Fricke de Viña del Mar, ubicado en calle Alvares #1532, y en la construcción del nuevo hospital. Que, por otro lado, otro de los elementos básicos de la relación laboral entre trabajadores y empleadores se encuentra ubicado en la aplicación del principio de ajenidad, puesto que la relación laboral se desarrolla en su integridad cuando el trabajador pone de su parte todo el esfuerzo físico y mental en el ejercicio de sus funciones, usando para ello bienes y servicios ajenos, pertenecientes al empleador, quien debe poner a su disposición de la totalidad de los implementos, insumos y útiles que sean necesarios para el adecuado desempeño de su cometido, ejerciendo el trabajador sus funciones en definitiva, por cuenta y riesgo de otro. En el caso de marras, la totalidad de los insumos, equipos electrónicos, papelería, líneas telefónicas y de internet, y en suma, de todos los bienes y servicios necesarios para la prestación de servicios del trabajador pertenecían y eran puestos a disposición de los empleados por la demandada Servicio de Salud Viña del Mar – Quillota, siendo claramente una relación de ajenidad que tiene el trabajador con respecto al ejercicio de sus tareas.</w:t>
      </w:r>
    </w:p>
    <w:p>
      <w:pPr>
        <w:jc w:val="both"/>
      </w:pPr>
      <w:r>
        <w:rPr>
          <w:rFonts w:ascii="Arial" w:hAnsi="Arial" w:eastAsia="Arial" w:cs="Arial"/>
          <w:sz w:val="24"/>
          <w:szCs w:val="24"/>
        </w:rPr>
        <w:t xml:space="preserve">Precisa que, al analizar las cláusulas contenidas en el “contrato de prestación de servicios a honorarios” de fecha 16 de enero de 2019, se pueden apreciar una serie de cláusulas contractuales destinadas a otorgar legítimos derechos laborales a estos trabajadores a honorarios, pero lo único que harían es reforzar aún más el hecho de que estamos en presencia de una relación de trabajo regida por el Código del Trabajo y no de un vínculo de honorarios regulado por el Código Civil. Señala que, uno de los primeros aspectos que se destacan en este punto dicen relación con el hecho de que a los trabajadores a honorarios se les obliga a prestar servicios sobre la base de una “jornada ordinaria de trabajo” de 44 horas semanales, las que se encuentran distribuidas de lunes a viernes, con descanso de una hora dentro de la jornada para colación. A su vez, para garantizar su comparecencia a prestar servicios, los trabajadores a honorarios se encuentran sujetos a la marcación diaria de entrada y salida en un libro de asistencia, debiendo justificar sus atrasos reiterados. Además, en la cláusula sexta se indicaría expresamente que este profesional a honorarios tiene derecho a “quince jornadas días hábiles de vacaciones por cada año calendario”, siempre y cuando su permanencia en el servicio sea superior a un año y su jornada semanal supere los 22, 33 o 44 horas semanales, por lo tanto, se apreciaría claramente que estos trabajadores a honorarios tienen perfecto derecho a gozar del descanso anual de vacaciones consagrado en el artículo 67 del Código del Trabajo. Hace presente, además que, en dicha norma se permite a los trabajadores a honorarios gozar del descanso por el goce de licencias médicas, a pesar de no existir cotización de salud alguna que sea pagada por el Servicio, sin perjuicio de señalar que no percibirán remuneración alguna por dicho periodo.</w:t>
      </w:r>
    </w:p>
    <w:p>
      <w:pPr>
        <w:jc w:val="both"/>
      </w:pPr>
      <w:r>
        <w:rPr>
          <w:rFonts w:ascii="Arial" w:hAnsi="Arial" w:eastAsia="Arial" w:cs="Arial"/>
          <w:sz w:val="24"/>
          <w:szCs w:val="24"/>
        </w:rPr>
        <w:t xml:space="preserve">Además, se consagraría la protección de la maternidad consagrada en el artículo 201 del Código del Trabajo en dicha cláusula, al precisar el contrato que se mantendrá la renta a la persona a quien se le aplique la protección de la persona nonata, no pudiendo disminuir el honorario que estuviere percibiendo, con ocasión de estar impedida de ejercer las funciones o turnos que ejercía con anterioridad al ejercicio de dicha protección. En la cláusula séptima se extienden los beneficios referentes a la protección de la salud de la madre y del niño que está por nacer, al especificarse que tendrán derecho al goce de licencias, al descanso de maternidad, al descanso prenatal suplementario, descanso prenatal prorrogado, postnatal prolongado, permiso por enfermedad grave del hijo menor de un año y permisos de alimentación, distinguiendo si se trata de la alimentación de los hijos menores de dos y de un año, respectivamente.</w:t>
      </w:r>
    </w:p>
    <w:p>
      <w:pPr>
        <w:jc w:val="both"/>
      </w:pPr>
      <w:r>
        <w:rPr>
          <w:rFonts w:ascii="Arial" w:hAnsi="Arial" w:eastAsia="Arial" w:cs="Arial"/>
          <w:sz w:val="24"/>
          <w:szCs w:val="24"/>
        </w:rPr>
        <w:t xml:space="preserve">Cierra su alegación, señalando que todos los indicios anteriores son un claro reflejo de la existencia de una relación laboral regida por lo dispuesto en el artículo 7° del Código del Trabajo, desconocida desde el inicio por la demandada, demandándose por tanto el reconocimiento de la misma, puesto que ello constituye la primaria defensa del establecimiento de los derechos mínimos del trabajador.</w:t>
      </w:r>
    </w:p>
    <w:p>
      <w:pPr>
        <w:jc w:val="both"/>
      </w:pPr>
      <w:r>
        <w:rPr>
          <w:rFonts w:ascii="Arial" w:hAnsi="Arial" w:eastAsia="Arial" w:cs="Arial"/>
          <w:sz w:val="24"/>
          <w:szCs w:val="24"/>
        </w:rPr>
        <w:t xml:space="preserve">En cuanto a la remuneración, menciona que, conforme consta en los convenios y boletas de honorarios que acompaña, para los efectos de lo dispuesto en el artículo 172 del Código del Trabajo, la última remuneración del actor alcanzaba la suma de $2.090.700 (dos millones noventa mil setecientos pesos).</w:t>
      </w:r>
    </w:p>
    <w:p>
      <w:pPr>
        <w:jc w:val="both"/>
      </w:pPr>
      <w:r>
        <w:rPr>
          <w:rFonts w:ascii="Arial" w:hAnsi="Arial" w:eastAsia="Arial" w:cs="Arial"/>
          <w:sz w:val="24"/>
          <w:szCs w:val="24"/>
        </w:rPr>
        <w:t xml:space="preserve">Finalmente, afirma que la demandada jamás efectuó pago alguno de cotizaciones previsionales por el periodo de relación contractual correspondientes a las remuneraciones percibidas mensualmente.</w:t>
      </w:r>
    </w:p>
    <w:p>
      <w:pPr>
        <w:jc w:val="both"/>
      </w:pPr>
      <w:r>
        <w:rPr>
          <w:rFonts w:ascii="Arial" w:hAnsi="Arial" w:eastAsia="Arial" w:cs="Arial"/>
          <w:sz w:val="24"/>
          <w:szCs w:val="24"/>
        </w:rPr>
        <w:t xml:space="preserve">Por todas las consideraciones expuestas, manifiesta que el demandado jamás estuvo en condiciones de dar cumplimiento íntegro a la obligación contenida en el inciso 5° del artículo 162 del Código del Trabajo, el que reza que “para proceder al despido de un trabajador por alguna de las causales legales, el empleador deberá informar a éste, por escrito, el estado de pago de las cotizaciones previsionales devengadas hasta el último día del mes anterior al del despido, adjuntando los comprobantes que lo justifiquen, agregando que si el empleador no hubiera efectuado el integro de estas cotizaciones previsionales al momento del despido, éste no producirá el efecto de poner término al contrato de trabajo, siendo por tanto nulo, en tanto no se convalide en la forma reseñada por el inciso 6° de la misma disposición”. Que, a su vez, la omisión en el envío de la carta de término de los servicios o carta de despido en que incurrió el empleador, habría vulnerado patentemente la disposición normativa de los incisos 1° y 5° del artículo 162 del Código del ramo, toda vez que no indicó por escrito cuales fueron los fundamentos de hecho y de derecho para tomar la decisión de desvincularla de su fuente de trabajo, con lo que la dejó en la más completa indefensión, otorgándole al despido, por esa sola omisión, la categoría de despido injustificado.</w:t>
      </w:r>
    </w:p>
    <w:p>
      <w:pPr>
        <w:jc w:val="both"/>
      </w:pPr>
      <w:r>
        <w:rPr>
          <w:rFonts w:ascii="Arial" w:hAnsi="Arial" w:eastAsia="Arial" w:cs="Arial"/>
          <w:sz w:val="24"/>
          <w:szCs w:val="24"/>
        </w:rPr>
        <w:t xml:space="preserve">Refiere a que el elemento de la continuidad es de que aquellos que permitirían a esta Sentenciadora poder comprobar que las supuestas contrataciones a honorarios no eran tales, puesto que este elemento de continuidad de las labores en el tiempo se opone a uno de los aspectos que configura el contrato de honorarios que establece el artículo 10 de la ley 18.834, puesto que la continuidad es absolutamente contraria al aspecto temporal y especifico que admite este tipo de contrataciones.</w:t>
      </w:r>
    </w:p>
    <w:p>
      <w:pPr>
        <w:jc w:val="both"/>
      </w:pPr>
      <w:r>
        <w:rPr>
          <w:rFonts w:ascii="Arial" w:hAnsi="Arial" w:eastAsia="Arial" w:cs="Arial"/>
          <w:sz w:val="24"/>
          <w:szCs w:val="24"/>
        </w:rPr>
        <w:t xml:space="preserve">La continuidad en los presentes autos quedaría demostrada por el hecho de que prestó servicios en forma permanente y constante, dedicando su tiempo de forma exclusiva a la demandada, en los términos que lo realiza un trabajador sujeto a una relación laboral. Lo anterior quedaría demostrado con las sucesivas boletas de honorarios, emitidas a favor del servicio por 3 años y 8 meses, teniendo el carácter de mensuales y por montos equivalentes, los cuales fueron progresivamente en aumento.</w:t>
      </w:r>
    </w:p>
    <w:p>
      <w:pPr>
        <w:jc w:val="both"/>
      </w:pPr>
      <w:r>
        <w:rPr>
          <w:rFonts w:ascii="Arial" w:hAnsi="Arial" w:eastAsia="Arial" w:cs="Arial"/>
          <w:sz w:val="24"/>
          <w:szCs w:val="24"/>
        </w:rPr>
        <w:t xml:space="preserve">Afirma que, el único tribunal habilitado para declarar que el actor reúne las características de un trabajador es el Juzgado de Letras del Trabajo, dado que la resolución de dicha controversia importa un pronunciamiento sobre el fondo de la disputa, que se traduce en definitiva en la existencia de una relación laboral bajo las características que se derivan de la definición de contrato de trabajo consignada en el artículo 7° del Código del Trabajo.</w:t>
      </w:r>
    </w:p>
    <w:p>
      <w:pPr>
        <w:jc w:val="both"/>
      </w:pPr>
      <w:r>
        <w:rPr>
          <w:rFonts w:ascii="Arial" w:hAnsi="Arial" w:eastAsia="Arial" w:cs="Arial"/>
          <w:sz w:val="24"/>
          <w:szCs w:val="24"/>
        </w:rPr>
        <w:t xml:space="preserve">Que, la redacción de la letra a) del artículo 420 del Código del Trabajo, relativo a la competencia de los tribunales del trabajo, trae claramente a sede laboral toda controversia jurisdiccional entre personas que se vinculan a través de una prestación de servicios en las que se genera diferencias sobre la aplicación de normas laborales o sobre la interpretación del contrato. Resolver lo contrario implicaría un desconocimiento de la racionalidad procedimental predicada por el artículo 19 N°3 de la Constitución Política de la República, que asiste al actor a un procedimiento debido ante tribunal competente, cumpliendo de esta forma a su vez con el mandato de inexcusabilidad del artículo 76 de la misma Carta Magna y 10 del Código Orgánico de Tribunales.</w:t>
      </w:r>
    </w:p>
    <w:p>
      <w:pPr>
        <w:jc w:val="both"/>
      </w:pPr>
      <w:r>
        <w:rPr>
          <w:rFonts w:ascii="Arial" w:hAnsi="Arial" w:eastAsia="Arial" w:cs="Arial"/>
          <w:sz w:val="24"/>
          <w:szCs w:val="24"/>
        </w:rPr>
        <w:t xml:space="preserve">En cuanto al derecho, señala que: La ley dispone que el personal contratado a honorarios no queda sujeto a las disposiciones del Estatuto Administrativo, precisamente porque no son funcionarios. Sin embargo, si los servicios de una persona son contratados a “honorarios”, fuera de los casos autorizados por las leyes, no puede invocarse esa misma legalidad quebrantada para asilarse en la imposibilidad de celebrar contratos de trabajo donde la ley no lo permitiría, porque ello importaría contrariar el principio de juridicidad que debe gobernar los actos de la administración, en el sentido de que ésta es la primera llamada a respetar el bloque normativo fundamental y el derecho no puede amparar la desprotección o precariedad, cuando los servicios se presten bajo subordinación y dependencia.</w:t>
      </w:r>
    </w:p>
    <w:p>
      <w:pPr>
        <w:jc w:val="both"/>
      </w:pPr>
      <w:r>
        <w:rPr>
          <w:rFonts w:ascii="Arial" w:hAnsi="Arial" w:eastAsia="Arial" w:cs="Arial"/>
          <w:sz w:val="24"/>
          <w:szCs w:val="24"/>
        </w:rPr>
        <w:t xml:space="preserve">En el caso de marras, continua, durante todo el tiempo que duró la relación laboral, los servicios que habría prestado a favor de su ex empleadora se trataron en todo momento de labores permanentes, esenciales y fundamentales, además de que los trabajos que realizó se enmarcaron dentro de los servicios que la institución permanentemente realiza, por lo tanto, estos no pueden ser catalogados de manera alguna como no habituales. Además, estos cometidos fueron realizados bajo el poder de mando de su ex empleadora, fueron generales y comunes, desarrollados por extensos periodos de tiempo, circunstancias todas que permiten excluir el carácter específico de los mismos.</w:t>
      </w:r>
    </w:p>
    <w:p>
      <w:pPr>
        <w:jc w:val="both"/>
      </w:pPr>
      <w:r>
        <w:rPr>
          <w:rFonts w:ascii="Arial" w:hAnsi="Arial" w:eastAsia="Arial" w:cs="Arial"/>
          <w:sz w:val="24"/>
          <w:szCs w:val="24"/>
        </w:rPr>
        <w:t xml:space="preserve">Señala que, en consecuencia, la premisa está constituida por la aplicación del Código del Trabajo, a todas las vinculaciones de orden laboral habidas entre empleadores y trabajadores, entendiendo por laboral, en general, a aquellas que reúnan las características que se derivan de la definición de contrato de trabajo consignada en el artículo 7°, es decir, aquella relación en la que concurren la prestación de servicios personales intelectuales o materiales, bajo dependencia o subordinación y el pago de una remuneración por dicha prestación, siendo la existencia de la subordinación y dependencia el elemento esencial y mayormente determinante y caracterizados de una relación de este tipo.</w:t>
      </w:r>
    </w:p>
    <w:p>
      <w:pPr>
        <w:jc w:val="both"/>
      </w:pPr>
      <w:r>
        <w:rPr>
          <w:rFonts w:ascii="Arial" w:hAnsi="Arial" w:eastAsia="Arial" w:cs="Arial"/>
          <w:sz w:val="24"/>
          <w:szCs w:val="24"/>
        </w:rPr>
        <w:t xml:space="preserve">Adicionalmente a ello, se refiere al artículo 1° del Código del Trabajo se consigna la regla general del artículo 7° y a la vez una excepción y una contraexcepción. La excepción a la aplicación del Código del Trabajo la constituyen los funcionarios de la Administración del Estado, centralizada y descentralizada, del Congreso Nacional y del Poder Judicial, los trabajadores de las empresas o instituciones del Estado o de aquellas en que tenga aportes, participación o representación, pero esta situación excepcional tiene cabida únicamente en el evento que dichos funcionarios o trabajadores se encuentren sometidos por ley a un estatuto especial. Por su parte, la contraexcepción se formularía abarcando a todos los trabajadores de las entidades señaladas, a quienes se vuelve a la regencia del Código del Trabajo, solo en los aspectos o materias no regulados en sus respectivos estatutos, siempre que ellas no fueren contrarias a estos últimos. En otras palabras, se someten al Código del Trabajo y a sus leyes complementarias los funcionarios de la Administración del estado que no se encuentren sometidos por ley a un estatuto especial y aun contando con dicho estatuto, si éste no regula el aspecto o materia de que se trate; en este último caso, en el evento en que no se oponga a su marco jurídico.</w:t>
      </w:r>
    </w:p>
    <w:p>
      <w:pPr>
        <w:jc w:val="both"/>
      </w:pPr>
      <w:r>
        <w:rPr>
          <w:rFonts w:ascii="Arial" w:hAnsi="Arial" w:eastAsia="Arial" w:cs="Arial"/>
          <w:sz w:val="24"/>
          <w:szCs w:val="24"/>
        </w:rPr>
        <w:t xml:space="preserve">Por consiguiente, añade, si se trata de una persona natural que no se encuentra sometida a un estatuto especial, sea por no ingresó a prestar servicios en la forma que dicha normativa especial prevé o porque tampoco lo hizo en las condiciones que esa normativa establece, ya sea, planta, contrata o suplente, lo que en los hechos acontecería, inconcusa resulta que la disyuntiva se orienta a la aplicación del Código del Trabajo o del Código Civil, conclusión que deriva de que en el caso se invoca el artículo 10 de la ley 18.834, norma que, sustrayéndose del marco jurídico estatutario que establece para los funcionarios que regula, permite contratar sobre la base de honorarios en las condiciones que allí se describen, las que, en general, se asimilan al arrendamiento de servicios personales regulado en el Código Civil y que, ausentes, excluyen de su ámbito las vinculaciones pertinentes, correspondiendo subsumirlas en la normativa del Código del Trabajo, en el evento en que se presenten los rasgos característicos de este tipo de relaciones, esto es, prestación de servicios personales bajo subordinación y dependencia y a cambio de una remuneración, no solo porque la vigencia del Código del Trabajo constituye la regla general en el campo de las relaciones personales, sino porque no sería dable admitir la informalidad laboral y suponer que por tratarse de un órgano de la administración del Estado, que debe someterse al principio de juridicidad, recogido en los artículos 6 y 7 de la Constitución Política de la República, pueda invocar esa ilegalidad para propiciar dicha precariedad e informalidad laboral, la que por lo demás se encuentra proscrita en un estado de derecho.</w:t>
      </w:r>
    </w:p>
    <w:p>
      <w:pPr>
        <w:jc w:val="both"/>
      </w:pPr>
      <w:r>
        <w:rPr>
          <w:rFonts w:ascii="Arial" w:hAnsi="Arial" w:eastAsia="Arial" w:cs="Arial"/>
          <w:sz w:val="24"/>
          <w:szCs w:val="24"/>
        </w:rPr>
        <w:t xml:space="preserve">Para finalizar, agrega que, resultaría claro que la acertada interpretación del artículo 1° del Código del Trabajo, en relación con el artículo 10 de la ley 18.834, está dada por la vigencia del Código del Trabajo para las personas naturales contratadas por la Administración del Estado, en la especie por el Servicio de Salud Viña del Mar Quillota, que aun habiendo suscrito sucesivos contratos de prestación de servicios a honorarios, por permitírselo el estatuto especial que regula a la entidad contratante, presten servicios en las condiciones previstas por el código laboral.</w:t>
      </w:r>
    </w:p>
    <w:p>
      <w:pPr>
        <w:jc w:val="both"/>
      </w:pPr>
      <w:r>
        <w:rPr>
          <w:rFonts w:ascii="Arial" w:hAnsi="Arial" w:eastAsia="Arial" w:cs="Arial"/>
          <w:sz w:val="24"/>
          <w:szCs w:val="24"/>
        </w:rPr>
        <w:t xml:space="preserve">Agrega que, debe tenerse presente lo dispuesto en el inciso 2° del artículo 5° del Código del Trabajo, el que prescribe: “Los derechos establecidos por leyes laborales son irrenunciables, mientras subsista el contrato de trabajo”, ya que, la calificación de laboralidad de un contrato es un derecho irrenunciable, puesto que dicha calificación debe preferirse siempre, cualquiera que sea la denominación que se le haya asignado por las partes, justamente porque está involucrado un derecho indisponible y, que, aceptar lo contrario supondría aceptar que el derecho tolera que un acuerdo de voluntades viole o infrinja la ley.</w:t>
      </w:r>
    </w:p>
    <w:p>
      <w:pPr>
        <w:jc w:val="both"/>
      </w:pPr>
      <w:r>
        <w:rPr>
          <w:rFonts w:ascii="Arial" w:hAnsi="Arial" w:eastAsia="Arial" w:cs="Arial"/>
          <w:sz w:val="24"/>
          <w:szCs w:val="24"/>
        </w:rPr>
        <w:t xml:space="preserve">No resulta, dice, procedente entonces aplicar la teoría de los actos propios, toda vez que operaría contra el trabajador la circunstancia de que hubiera consentido en la contratación a honorarios, sin protesta alguna durante toda la prestación de los servicios. Adicionalmente a ello, señala que, ya la jurisprudencia se ha manifestado en contra de la aplicación de este principio en esta materia, al sostener que “dicha aseveración importa contrariar el principio de primacía de la realidad, cuya manifestación más relevante es la de hacer que prevalezca lo que sucede en el terreno de los hechos, por sobre aquello que indique los documentos, es decir, actúa como un criterio de apreciación de la prueba, en la medida que permite desvirtuar el contenido instrumental, haciéndole perder toda significación y valía; seguidamente, porque comporta desconocer tanto la frecuencia con la que se celebra este tipo de contratos en relación que, tras su escrutinio, son de índole laboral; y finalmente, porque significa olvidar la proverbial asimetría de las partes contratantes en esta clase de asuntos, hasta llegar a la reasignación de la libertad de una de ellas, para mantener su fuente de ingresos. (Rol ICA Santiago 1205-2013, sentencia de fecha 08.01.2014).</w:t>
      </w:r>
    </w:p>
    <w:p>
      <w:pPr>
        <w:jc w:val="both"/>
      </w:pPr>
      <w:r>
        <w:rPr>
          <w:rFonts w:ascii="Arial" w:hAnsi="Arial" w:eastAsia="Arial" w:cs="Arial"/>
          <w:sz w:val="24"/>
          <w:szCs w:val="24"/>
        </w:rPr>
        <w:t xml:space="preserve">Agrega que, se ha resuelto jurisprudencialmente asimismo que la acertada interpretación del artículo 1° del Código del Trabajo, en relación con el artículo 4° de la ley 18.834, que el Derecho del Trabajo se caracteriza por la existencia de normas heterónomas, establecidas imperativamente por la autoridad, de derecho mínimo inderogable y de naturaleza indisponible, que se imponen sobre la voluntad de las partes y que se aplican de manera necesaria y directa al contrato laboral. En ese sentido, la indisponibilidad, entonces, significaría que el trabajador no puede renunciar válidamente a los derechos que la norma establece en su favor, pues estos forman parte del contrato e ingresan a su patrimonio y en esa lógica, corresponde a los tribunales garantizar su efectivo cumplimiento. Los contratos individuales y convenios colectivos deben siempre estar subordinados a la ley y no pueden contener cláusulas de índole inferior a las que la propia ley considere mínimos y bajo ningún respecto pueden establecerse en perjuicio del trabajador condiciones menos favorables a las disposiciones legales y a los convenios colectivos suscritos con anterioridad.</w:t>
      </w:r>
    </w:p>
    <w:p>
      <w:pPr>
        <w:jc w:val="both"/>
      </w:pPr>
      <w:r>
        <w:rPr>
          <w:rFonts w:ascii="Arial" w:hAnsi="Arial" w:eastAsia="Arial" w:cs="Arial"/>
          <w:sz w:val="24"/>
          <w:szCs w:val="24"/>
        </w:rPr>
        <w:t xml:space="preserve">Ilustra al Tribunal, indicando que el principio de irrenunciabilidad puede ser definido como “la imposibilidad jurídica de privarse voluntariamente de una o más prerrogativas conferidas por el derecho del Trabajo en beneficio propio”. Este elemento particular reside, a su parecer, en ciertas características fundamentales del derecho laboral, a saber: a) La limitación a la autonomía de la voluntad en materia laboral, ya que las normas del derecho del trabajo que establecen mínimos para el operario son forzosas, característica singular que lo hace distinto al derecho común, pero esa limitación es coherente con el propósito tutelar que lo inspira y por medio de esa restricción es que el Estado encuentra la vía adecuada para proteger al trabajador. b) El orden público que poseen las disposiciones del derecho laboral, lo que implica que el Estado ha estimado la exclusión de que las partes decidan por propia voluntad determinar sus actos de una forma diversa a la señalada por la ley. c) El imperio de las normas laborales, ya que tienen en general, carácter coactivo e irrenunciable y en este caso la obligatoriedad se funda en el interés y la necesidad de organizar la sociedad en sus distintos sectores y estamentos y en el deber de proteger al más débil. d) La indisponibilidad de las partes para alterar su contenido, pues reconocida la asimetría de los contratantes en la relación laboral, se da origen a la tutela del trabajador. En ese sentido se fijan las condiciones mínimas de una comunidad organizada, las que no pueden ser conculcadas y, por ende, no es posible dejar al libre arbitrio de los contratantes, el darles o no eficacia a dichas normas protectoras.</w:t>
      </w:r>
    </w:p>
    <w:p>
      <w:pPr>
        <w:jc w:val="both"/>
      </w:pPr>
      <w:r>
        <w:rPr>
          <w:rFonts w:ascii="Arial" w:hAnsi="Arial" w:eastAsia="Arial" w:cs="Arial"/>
          <w:sz w:val="24"/>
          <w:szCs w:val="24"/>
        </w:rPr>
        <w:t xml:space="preserve">Este postulado encontraría su fundamento en la circunstancia que el trabajador subordinado se encuentra en una situación de inferioridad económica respecto del empleador, por lo mismo, es la parte débil de la relación contractual y porque el trabajo es precisamente lo que le proporciona los medios necesarios para sufragar sus gastos y los de su familia, provocándole su pérdida estados de incertidumbre, sin perjuicio que, además, el trabajo que regula el estatuto laboral es trascendental porque no solo representa la capacidad creadora del ser humano, sino porque proporciona las herramientas necesarias para que pueda desarrollarse en la sociedad de manera integral.</w:t>
      </w:r>
    </w:p>
    <w:p>
      <w:pPr>
        <w:jc w:val="both"/>
      </w:pPr>
      <w:r>
        <w:rPr>
          <w:rFonts w:ascii="Arial" w:hAnsi="Arial" w:eastAsia="Arial" w:cs="Arial"/>
          <w:sz w:val="24"/>
          <w:szCs w:val="24"/>
        </w:rPr>
        <w:t xml:space="preserve">En cuanto al principio de primacía de la realidad, en cuanto fundamento del Derecho Laboral, le correspondería una exigencia que tiene por objeto servir de guía interpretativa de las decisiones jurisprudenciales, ordenando atender por sobre las formalidades, la manera en que la practica concreta desarrollar y configura las relaciones de intercambio y prestaciones de servicio. En base a lo anterior, la calificación de los hechos debe ser efectuada desde la perspectiva del trabajador, a quien le es indiferente la formula contractual que sustente su vínculo, o el fundamento jurídico del mismo, pues se trata de un análisis que se realiza en el contexto de un derecho que busca balancear el desequilibrio propio de las relaciones laborales, que afecta a quien vive de su trabajo, donde el empleador se ubicaría en una posición privilegiada que le permite decidir y dirigir, entre otros factores, las formalidades de la contratación. Por ello, no es indiferente que un contrato celebrado entre un particular y un órgano de la Administración del Estado, que responde formalmente a una facultad del artículo 10° de la ley 18.834, en la práctica demuestre elementos configurativos de una relación laboral, pues la protección que implica el reconocimiento de dicha categoría jurídica, se extiende de manera amplia a todos los trabajadores que no se encuentran en los hechos en los presupuestos legales que autorizan el régimen de contratación a honorarios. El error o ilegalidad en que incurre un ente público, al utilizar indebidamente la facultad del artículo 10° de la ley 18.834 no puede perjudicar al trabajador.</w:t>
      </w:r>
    </w:p>
    <w:p>
      <w:pPr>
        <w:jc w:val="both"/>
      </w:pPr>
      <w:r>
        <w:rPr>
          <w:rFonts w:ascii="Arial" w:hAnsi="Arial" w:eastAsia="Arial" w:cs="Arial"/>
          <w:sz w:val="24"/>
          <w:szCs w:val="24"/>
        </w:rPr>
        <w:t xml:space="preserve">Afirma que, la responsabilidad administrativa que surja debe perjudicar a su autor, pero no a terceros de buena fe, que no son responsables del acto viciado. Incluso el propio derecho administrativo reconocería un efecto similar a partir del denominado “Principio de confianza legítima”, que ha sido recogido por la jurisprudencia de la Contraloría General de la República, a propósito de los funcionarios adscritos al sistema público bajo contrata, al señalar que la reiterada renovación de las mismas, generan en los funcionarios la legitima expectativa de continuidad que impide su cancelación sin una debida fundamentación.</w:t>
      </w:r>
    </w:p>
    <w:p>
      <w:pPr>
        <w:jc w:val="both"/>
      </w:pPr>
      <w:r>
        <w:rPr>
          <w:rFonts w:ascii="Arial" w:hAnsi="Arial" w:eastAsia="Arial" w:cs="Arial"/>
          <w:sz w:val="24"/>
          <w:szCs w:val="24"/>
        </w:rPr>
        <w:t xml:space="preserve">Finalmente, destaca que, la situación que está reclamando, ya fue representada por la Contraloría Regional de la República, V Región de Valparaíso a la entonces Directora del Servicio de Salud de Viña del Mar Quillota, mediante Informe Final 1004 de 2019 sobre auditoría y examen de cuentas al proyecto de inversión código BIP N°30120941-0, denominado “Diseño y Construcción Hospital Provincial Marga Marga”, ejecutado por el Servicio de Salud Viña del Mar Quillota. A ese respecto, en su página 11, punto 4 del acápite II examen de la materia auditada, señala que: “con el fin de abarcar diversas materias relacionadas con el proyecto en estudio, la entidad fiscalizada efectuó la contratación de consultorías a honorarios de profesionales de diversas áreas, tales como ingeniero civil, ingeniero en construcción, ingeniero civil biomédico, arquitecto, abogado, ingeniero comercial, administrador público y secretaria, entre otros”. Añade el ente contralor que, “referente a la facultad de contratar profesionales a honorarios del artículo 10 de la ley 18.834, estas prestaciones de servicios personales han de ser de carácter excepcional y eminentemente transitorias, puesto que la condición de cometido específico se pierde con su reiteración en el tiempo en que pasan a transformarse en labores permanentes y, por lo tanto, habituales”. Finaliza indicando en su informe que “no constituye un cometido específico la simple enumeración de labores a desarrollar, sobre todo cuando estas conforman la totalidad de las tareas propias de la función que se encomienda y se prolongan en la especie”. Concluye arguyendo que “el ejercicio de la facultad que se comenta debe examinarse un estricto criterio de racionalidad, evitando la reiteración periódica de estos contratos, ya que con ello se desvirtúa la atribución de celebrarlos y, con la extensión en el tiempo de los contratados, los mismos pasan a constituir la realización de labores permanentes”.</w:t>
      </w:r>
    </w:p>
    <w:p>
      <w:pPr>
        <w:jc w:val="both"/>
      </w:pPr>
      <w:r>
        <w:rPr>
          <w:rFonts w:ascii="Arial" w:hAnsi="Arial" w:eastAsia="Arial" w:cs="Arial"/>
          <w:sz w:val="24"/>
          <w:szCs w:val="24"/>
        </w:rPr>
        <w:t xml:space="preserve">Con todo lo antes expuesto es que solicita, en virtud de la calificación jurídica que ha hecho de la relación laboral expuesta precedentemente entre las partes, se declare que entre la demandada Servicio de Salud Viña del Mar Quillota y Marcela del Carmen Acevedo Cuevas existió una relación laboral entre el día 1° de julio de 2016 y el 29 de febrero de 2020, bajo las características que se derivan de la definición de contrato de trabajo, consignada en el artículo 7° del Código del Trabajo.</w:t>
      </w:r>
    </w:p>
    <w:p>
      <w:pPr>
        <w:jc w:val="both"/>
      </w:pPr>
      <w:r>
        <w:rPr>
          <w:rFonts w:ascii="Arial" w:hAnsi="Arial" w:eastAsia="Arial" w:cs="Arial"/>
          <w:sz w:val="24"/>
          <w:szCs w:val="24"/>
        </w:rPr>
        <w:t xml:space="preserve">Además, en virtud de lo expuesto, solicita se declare la continuidad de los servicios prestados por la demandante a favor del Servicio de Salud Viña del Mar – Quillota, desde el día 1° de julio de 2016 hasta el 29 de febrero de 2020 y, que, con motivo del despido ilegal y arbitrario del que he sido víctima, la demandada le adeuda las siguientes prestaciones: 1.- Indemnización sustitutiva del aviso previo por la suma de $2.090.700.- 2.- Indemnización por años de servicio, correspondientes a 4 años, por la suma de $8.362.800.- 3.- Recargo por aplicación de lo dispuesto en la letra b) del artículo 168 del Código del Trabajo, equivalente al 50% de las indemnizaciones por años de servicio, por la suma de $4.181.400.- 4.- Feriado proporcional por la suma de $313.605. 5.- Que se declare la nulidad del despido y se ordene a la demandada efectuar el pago de la totalidad de las cotizaciones previsionales de AFP, Fonasa o Isapre, AFC, durante todo el periodo que duró la relación laboral. 6.- Que, al declararse la nulidad del despido, se ordene a la demandada el pago de la totalidad de las remuneraciones que se devenguen a contar del término de la relación laboral y hasta que se produzca la efectiva convalidación del despido, mediante el pago total de las cotizaciones previsionales adeudadas, todo ello de conformidad a lo dispuesto en el inciso 5°, 6° y 7° del artículo 162 del Código del Trabajo. 7.- Que la totalidad de las indemnizaciones y prestaciones reclamadas se paguen con los reajustes e intereses legales que procedan, de conformidad con lo dispuesto en los artículos 63 y 173 del Código del Trabajo y con expresa y ejemplar condena en costas de la demandada.</w:t>
      </w:r>
    </w:p>
    <w:p>
      <w:pPr>
        <w:jc w:val="both"/>
      </w:pPr>
      <w:r>
        <w:rPr>
          <w:rFonts w:ascii="Arial" w:hAnsi="Arial" w:eastAsia="Arial" w:cs="Arial"/>
          <w:sz w:val="24"/>
          <w:szCs w:val="24"/>
        </w:rPr>
        <w:t xml:space="preserve">Por tanto y conforme lo expuesto y lo dispuesto en las disposiciones legales citadas, y en mérito de lo establecido en los artículos 1, 3, 4, 5, 7, 8, 9, 10, 36, 37, 38 bis, 41, 42, 45, 54, 54 bis, 55, 58, 63, 67, 71, 73, 160, 162, 163, 168, 172, 173 y siguientes y 425 y siguientes del Código del Trabajo, ley 18.834 y demás normas aplicables; solicita se tener por interpuesta demanda de reconocimiento de relación laboral de carácter indefinido por informalidad laboral, de despido injustificado, de nulidad de despido y de cobro de prestaciones en procedimiento ordinario laboral, en contra de en contra de SERVICIO DE SALUD VIÑA DEL MAR QUILLOTA, representada legalmente por ALFREDO MOLINA NAVES, ambos ya individualizados; solicitando que la presente demanda sea admitida a tramitación, acogerla y, en definitiva, se condene a la demandada al pago de las prestaciones ya indicadas y, a su vez, realizar las declaraciones respectivas, todo con los reajustes e intereses legales que procedan, de conformidad con lo dispuesto en los artículos 63 y 173 del Código del Trabajo y con expresa y ejemplar condena en costas de la demandada.</w:t>
      </w:r>
    </w:p>
    <w:p>
      <w:pPr>
        <w:jc w:val="both"/>
      </w:pPr>
      <w:r>
        <w:rPr>
          <w:rFonts w:ascii="Arial" w:hAnsi="Arial" w:eastAsia="Arial" w:cs="Arial"/>
          <w:sz w:val="24"/>
          <w:szCs w:val="24"/>
        </w:rPr>
        <w:t xml:space="preserve">SEGUNDO: Que, comparece doña ROXANA AGUILERA HASEN, abogada, en representación del demandado Servicio de Salud de Viña del Mar-Quillota, persona jurídica de derecho público rut N°61.606.600-5, ambos domiciliados para estos efectos en calle Von Schroeders N°392 Viña del Mar, en autos laborales sobre Declaración de relación laboral, Despido Injustificado, Nulidad del Despido, y Cobro de prestaciones laborales, caratulada “ACEVEDO CON SERVICIO DE SALUD DE VIÑA DEL MARQUILLOTA”, Rol O-563-2020, quien, encontrándose dentro del plazo legal, y en virtud de lo dispuesto en el artículo 452 del Código del Trabajo, contesta la demanda de Declaración de relación laboral, Despido Injustificado, Nulidad del Despido, y Cobro de prestaciones laborales, solicitando su rechazo, con costas, en base a las siguientes argumentaciones de hecho y de derecho.</w:t>
      </w:r>
    </w:p>
    <w:p>
      <w:pPr>
        <w:jc w:val="both"/>
      </w:pPr>
      <w:r>
        <w:rPr>
          <w:rFonts w:ascii="Arial" w:hAnsi="Arial" w:eastAsia="Arial" w:cs="Arial"/>
          <w:sz w:val="24"/>
          <w:szCs w:val="24"/>
        </w:rPr>
        <w:t xml:space="preserve">Señala que, se ha deducido en estos autos demanda por Reconocimiento de Relación Laboral Indefinida, Despido Injustificado, Nulidad del Despido y Cobro de Prestaciones, por parte de doña MARCELA DEL CARMEN ACEVEDO CUEVAS, en contra del SERVICIO DE SALUD DE VIÑA DEL MAR-QUILLOTA. Que, indica la demandante que habría ingresado a prestar servicios en beneficio de su representada el día 1 de julio de 2016, y que desde esa fecha hasta el día 29 de febrero de 2020, habría desempeñado labores de asesoría a la Inspección Técnica de Obras para el proyecto de Normalización del Hospital Gustavo Fricke, en materia de Seguridad, Salud Ocupacional, y Medio Ambiente, detallando parte de sus funciones en dicha unidad.</w:t>
      </w:r>
    </w:p>
    <w:p>
      <w:pPr>
        <w:jc w:val="both"/>
      </w:pPr>
      <w:r>
        <w:rPr>
          <w:rFonts w:ascii="Arial" w:hAnsi="Arial" w:eastAsia="Arial" w:cs="Arial"/>
          <w:sz w:val="24"/>
          <w:szCs w:val="24"/>
        </w:rPr>
        <w:t xml:space="preserve">Que, respecto al periodo en que trabajó para su representada, señala la demandante que desempeñó un cargo evidentemente estable, permanente e indispensable en la organización jerárquica del Servicio, que fue sujeto a jornadas de trabajo claramente establecidas, al poder de mando de sus superiores, y al deber de obediencia en el desempeño de sus funciones. Indica que, la demandante plantea una hipótesis de relación laboral desconociendo las condiciones de contratación, en virtud de lo dispuesto en el artículo 11 del Estatuto Administrativo, descartando el carácter temporal y específico de sus servicios solo por un elemento temporal, esto es, desarrollar sus funciones por 3 años y 8 meses, desconociendo la especialidad de su labor, que habría consistido exclusivamente en realizar asesoría para el ITO de la construcción del Hospital Gustavo Fricke de Viña del Mar, que se realiza en terreno, específicamente en las obras que a la fecha del término de su último contrato, ya se encontraba terminada.</w:t>
      </w:r>
    </w:p>
    <w:p>
      <w:pPr>
        <w:jc w:val="both"/>
      </w:pPr>
      <w:r>
        <w:rPr>
          <w:rFonts w:ascii="Arial" w:hAnsi="Arial" w:eastAsia="Arial" w:cs="Arial"/>
          <w:sz w:val="24"/>
          <w:szCs w:val="24"/>
        </w:rPr>
        <w:t xml:space="preserve">Finalmente, dice, que la demandante relata las circunstancias del término de la relación con su representada, señalando que el día 19 de febrero de 2020 se le comunicó que su continuación no había sido aprobada, quedando despedida desde el 29 de febrero, en forma abiertamente irregular, debido a que carece de todo requisito legal, sin expresar las causales del despido infringiendo el artículo 162 del Código del Trabajo. Que es por lo anteriormente expuesto que solicita que se declaren que la relación que la unió con su representada es una relación laboral, solicitando que, en conformidad a lo anterior se declare que el despido ha sido injustificado, y que por lo tanto se le paguen las indemnizaciones sustitutiva de aviso previo y por años de servicios con recargo legal, que se declare la nulidad del despido por no pago de cotizaciones previsionales y que por lo anterior se condene a su representada al pago de las remuneraciones desde el mes de marzo de 2020 hasta la fecha de convalidación del pago de dichas cotizaciones, el pago del feriado proporcional supuestamente adeudado por su representada y finalmente que se le paguen las cotizaciones de seguridad social por el periodo trabajado, todo lo anterior con los recargos legales, intereses y reajustes, además de las costas de la causa.</w:t>
      </w:r>
    </w:p>
    <w:p>
      <w:pPr>
        <w:jc w:val="both"/>
      </w:pPr>
      <w:r>
        <w:rPr>
          <w:rFonts w:ascii="Arial" w:hAnsi="Arial" w:eastAsia="Arial" w:cs="Arial"/>
          <w:sz w:val="24"/>
          <w:szCs w:val="24"/>
        </w:rPr>
        <w:t xml:space="preserve">Agrega que, de conformidad con lo dispuesto en el inciso 2° del artículo 452 del Código del Trabajo, su parte niega en forma expresa todos y cada uno de los hechos que son fundamento de la demanda de autos. En particular, para los efectos del inciso 2° del artículo 452 del Código del Trabajo, niega que la demandante haya tenido una relación laboral con su representada, debido a que cumplía labores de asesoría en la obra de construcción del Hospital Dr. Gustavo Fricke de Viña del Mar, labores eminentemente accidentales, que no se relacionan directamente con la función que está llamada a cumplir por ley su representada; y específica, debido a que tenía como fin, según se podría apreciar de los contratos suscritos y de la naturaleza de las labores ejecutadas, la prestación de servicios profesionales en materia de Seguridad, Salud Ocupacional, y Medio Ambiente, que se debían prestar solo en la obra de Normalización del Hospital Dr. Gustavo Fricke de Viña del Mar, razón por la cual fue contratada con cargo a un ítem presupuestario determinado y que correspondería el pago por asesorías en proyectos de inversión, lo que pretende demostrar en juicio.</w:t>
      </w:r>
    </w:p>
    <w:p>
      <w:pPr>
        <w:jc w:val="both"/>
      </w:pPr>
      <w:r>
        <w:rPr>
          <w:rFonts w:ascii="Arial" w:hAnsi="Arial" w:eastAsia="Arial" w:cs="Arial"/>
          <w:sz w:val="24"/>
          <w:szCs w:val="24"/>
        </w:rPr>
        <w:t xml:space="preserve">En consecuencia, añade, en esta etapa procesal y para los efectos de la prueba que deberá rendirse a su respecto, correspondería a la parte demandante la acreditación de los hechos afirmados por ella y que contradicen los contratos suscritos.</w:t>
      </w:r>
    </w:p>
    <w:p>
      <w:pPr>
        <w:jc w:val="both"/>
      </w:pPr>
      <w:r>
        <w:rPr>
          <w:rFonts w:ascii="Arial" w:hAnsi="Arial" w:eastAsia="Arial" w:cs="Arial"/>
          <w:sz w:val="24"/>
          <w:szCs w:val="24"/>
        </w:rPr>
        <w:t xml:space="preserve">Continua su relato, indicando que, la demandante de autos y su representada acordaron suscribir cinco convenios de honorarios desde el día 6 de julio de 2016 a febrero de 2020, en los que se determinó la realización de funciones específicas relacionadas con asesorías en materias de Seguridad, Salud Ocupacional y Medio Ambiente, al Inspector Técnico de Obras encargado de la fiscalización de la Obra Normalización del Hospital Dr. Gustavo Fricke de Viña del Mar. Que, la ejecución de las funciones antes descritas debía ser cumplidas por un profesional de las competencias del demandante, derivadas de su título de ingeniera en prevención de riesgos y medio ambiente.</w:t>
      </w:r>
    </w:p>
    <w:p>
      <w:pPr>
        <w:jc w:val="both"/>
      </w:pPr>
      <w:r>
        <w:rPr>
          <w:rFonts w:ascii="Arial" w:hAnsi="Arial" w:eastAsia="Arial" w:cs="Arial"/>
          <w:sz w:val="24"/>
          <w:szCs w:val="24"/>
        </w:rPr>
        <w:t xml:space="preserve">Afirma que la demandante cumplió sus labores en las oficinas de la Inspección Técnica de Obras, que se ubica a un costado de las Obras del Proyecto Normalización del Hospital Dr. Gustavo Fricke de Viña del Mar, y por acuerdo contractual, se determinó que debía disponer de 44 horas semanales para la realización de la labor encomendada, que podía cumplir en dichas dependencias o en terreno, es así como el demandante acreditó la utilización de las 44 horas semanales a través del registro biométrico, creado para registrar la entrada y salida de los funcionarios del servicios, y que por principio de buen uso de los recursos públicos se utilizó para el demandante, y también a través de los informes entregados.</w:t>
      </w:r>
    </w:p>
    <w:p>
      <w:pPr>
        <w:jc w:val="both"/>
      </w:pPr>
      <w:r>
        <w:rPr>
          <w:rFonts w:ascii="Arial" w:hAnsi="Arial" w:eastAsia="Arial" w:cs="Arial"/>
          <w:sz w:val="24"/>
          <w:szCs w:val="24"/>
        </w:rPr>
        <w:t xml:space="preserve">Aclara al Tribunal que el registro de las horas utilizadas para cumplir su función es una exigencia pactada en los convenios de honorarios suscritos y que, por lo mismo, su cumplimiento debe ser fiscalizado por su representada, en cumplimiento a los dictámenes de la Contraloría General de la República (dictamen 65453/2016). Y, finalmente, en cuanto al pago por los servicios acordado en los respectivos contratos de honorarios, sostiene que, aunque se pagó en cuotas mensuales, no constituye remuneración, debido a que; a. No se pagaba a todo evento, el requisito para el pago era la emisión de una boleta de honorarios por parte del profesional y la entrega de un informe de cumplimiento de las labores, visado por la persona designada en contrato. b. Porque los honorarios pagados nunca se supeditaron al cumplimiento de una jornada laboral, en el caso de los funcionarios del Servicio de Salud de Viña del Mar-Quillota, estos tienen obligación de cumplir un horario definido con la autoridad o bien horario flexible conforme al instructivo que la autoridad ha dictado para el efecto, de manera tal que un incumplimiento a la jornada laboral pactada, en cualquiera de las dos modalidades, genera descuentos para el trabajador y también infracción a los deberes funcionarios, tal como lo dispone el artículo 72 del Estatuto Administrativo que sanciona con destitución los atrasos e inasistencias reiterados y dispone descuentos para éstos. En el caso de la demandante, solo debe acreditar la utilización de 44 horas semanales en la distribución que sea necesaria para el cumplimiento de su labor, tal como lo dispone la Contraloría (dictamen 65453/2016). c. Porque es la demandante, como trabajador independiente quien tiene la obligación de declarar sus ingresos y elegir la forma del pago de sus cotizaciones en fondos de pensiones, salud y accidente de trabajo, en un procedimiento regulado en el D.L. 3500, que involucra la participación del SII, que debe calcular la base imponible del trabajador independiente e informar a la Tesorería General de la República para que entere las cotizaciones en los organismos que procedan en el evento de que el trabajador elija aquellos o no opte por elegir, según el sistema regulado en los artículos 89 a 92 del D.L. 3500. En este sentido, dice, la Contraloría General de la República, ha instruido en dictamen 33643/2019, que el servicio contratante no debe intervenir en el proceso, por lo que resulta innecesario que requiera cualquier tipo de comprobación o acreditación del pago de las cotizaciones previsionales por parte de los servidores a honorarios como obligación en sus respectivos contratos de honorarios, y que, este hecho no debe desconocerse en el evento de acoger la demanda de autos, debido a que, de acuerdo al sistema antes señalado, su representada ha cumplido con la obligación legal de retención del 10% de sus honorarios, dinero que el SII debe remitir a la Tesorería General de la República para que lo destine al pago de las cotizaciones previsionales del demandante.</w:t>
      </w:r>
    </w:p>
    <w:p>
      <w:pPr>
        <w:jc w:val="both"/>
      </w:pPr>
      <w:r>
        <w:rPr>
          <w:rFonts w:ascii="Arial" w:hAnsi="Arial" w:eastAsia="Arial" w:cs="Arial"/>
          <w:sz w:val="24"/>
          <w:szCs w:val="24"/>
        </w:rPr>
        <w:t xml:space="preserve">Agrega que, la demandante se ha referido a cláusulas contractuales que hacen presumir una relación laboral indefinida, y respecto a estas, solo refiere que son producto de un acuerdo contractual, sin el cual, la demandante no habría tenido derecho a exigir, cuestión que también habría sido reconocido por la jurisprudencia, señala un fallo dictado en causa caratulada “Flores con Subsecretaria de Transportes” Rit O-1236-2016, del 1° Juzgado de Letras del Trabajo de Santiago, Considerando Decimo que señala “que, dado que el actor en caso alguno le es aplicable alguna disposición del código del trabajo, ni menos aún se puede reconocer beneficio alguno que consagra este estatuto, en especial, la existencia de un contrato de trabajo, al establecer cierta presencia de elementos típicos de aquellos previstos y establecidos en el artículo 7 del condigo del ramo. Que lo decidido de manera precedente no obsta que los servicios prestados por el demandante para la demandada, se hayan llevado a cabo con obligaciones de asistencia, cumplimiento de horario y sujeto a la dependencia e instrucciones de jefaturas, como también el pago de un honorario, pues las referidas condiciones igualmente pueden pactarse para el cumplimiento de un contrato de honorarios, que como ya se dijo el artículo 11 de la Ley 18.834 prevé como modalidad de prestación de servicios en la administración del estado para la ejecución de cometidos específicos, ellas mal podrían haber configurado una relación laboral sometida al código del trabajo”.</w:t>
      </w:r>
    </w:p>
    <w:p>
      <w:pPr>
        <w:jc w:val="both"/>
      </w:pPr>
      <w:r>
        <w:rPr>
          <w:rFonts w:ascii="Arial" w:hAnsi="Arial" w:eastAsia="Arial" w:cs="Arial"/>
          <w:sz w:val="24"/>
          <w:szCs w:val="24"/>
        </w:rPr>
        <w:t xml:space="preserve">Indica que, la demandante expresa en el libelo que no existe una relación contractual al amparo de lo establecido en el artículo 11 del Estatuto Administrativo, negando la excepcionalidad de sus labores, basándose solamente en la existencia de indicios de laboralidad, reconocidos por la jurisprudencia del ramo, asumiendo la defensa genérica de éste tipo de demandas, sin presentar un argumento que justifique en este caso especial, la exclusión de esta especial forma de contratación; es por ello que aclara algunos puntos acerca de la contratación dentro del marco legal contemplado en el artículo 11 del Estatuto Administrativo, diciendo que, dicho artículo señala, “se podrá contratar sobre la base de honorarios a profesionales y técnicos de educación superior o expertos en determinadas materias, cuando deban realizarse labores accidentales y que no sean las habituales de la institución, mediante resolución de la autoridad correspondiente”. El inciso segundo, además, prescribe “se podrá contratar sobre la base de honorarios, la prestación de servicios específicos, conforme a las normas específicas”.</w:t>
      </w:r>
    </w:p>
    <w:p>
      <w:pPr>
        <w:jc w:val="both"/>
      </w:pPr>
      <w:r>
        <w:rPr>
          <w:rFonts w:ascii="Arial" w:hAnsi="Arial" w:eastAsia="Arial" w:cs="Arial"/>
          <w:sz w:val="24"/>
          <w:szCs w:val="24"/>
        </w:rPr>
        <w:t xml:space="preserve">Con todo, advierte que, en el caso de marras, se determinó la contratación de la demandante a través de resoluciones fundadas, las que serán acompañadas en la audiencia respectiva, se le contrata por una asesoría que solo puede prestar un profesional de sus competencias, y para un cometido específico, como es la asesoría en materias de Seguridad, Salud Laboral y Medio Ambiente, esta asesoría es imprescindible en una obra como la encargada para la Normalización del Hospital dr. Gustavo Fricke de Viña del Mar, esto se habría determinado por escrito en los convenios, lo que pretende constatar en la audiencia de juicio a través de la prueba que rendirá su parte, que dicha labor es la que cumplió la demandante, probará, además, que el cometido fue específico y que se encargó solo hasta el tiempo que fue necesario, que coincide con el término del proyecto de normalización del Hospital Dr. Gustavo Fricke de Viña del Mar.</w:t>
      </w:r>
    </w:p>
    <w:p>
      <w:pPr>
        <w:jc w:val="both"/>
      </w:pPr>
      <w:r>
        <w:rPr>
          <w:rFonts w:ascii="Arial" w:hAnsi="Arial" w:eastAsia="Arial" w:cs="Arial"/>
          <w:sz w:val="24"/>
          <w:szCs w:val="24"/>
        </w:rPr>
        <w:t xml:space="preserve">Que, tal como viene diciendo constantemente en su defensa ante demandas de esta índole, la función de su representada se encuentra establecida en la ley 19.937 sobre autoridad sanitaria y en el Reglamento de los Servicio de Salud (D140 de 2004) y consiste en la articulación, gestión y desarrollo de la red asistencial, correspondiente para la ejecución de las acciones integradas de fomento, protección y recuperación de la salud, como también la rehabilitación y cuidados paliativos de las personas enfermas. De modo tal, que la obra de normalización y construcción del Hospital Dr. Gustavo Fricke de Viña del Mar, no es una labor habitual que debamos desarrollar como Servicio de Salud, y al ser una labor accidental del servicio han requerido el apoyo presupuestario del Ministerio de Salud, a través de la asignación de partidas especiales destinadas a proyectos de inversión, para la contratación de personal técnico profesional especializado, cuya contratación es temporal por la especificidad de su cometido, que no corresponde a las labores propias del servicio y por tanto, al terminar el proyecto será innecesaria su mantención para cumplir con las funciones a las que están llamados por ley. Corroboraría lo anteriormente dicho, el hecho de que la contratación de la demandante fue imputada con cargo al presupuesto asignado al pago de consultorías en iniciativas de inversión, ítem 31.02.002, tal como constatarían en las resoluciones que acompañará en la audiencia de juicio, además de la declaración de testigos.</w:t>
      </w:r>
    </w:p>
    <w:p>
      <w:pPr>
        <w:jc w:val="both"/>
      </w:pPr>
      <w:r>
        <w:rPr>
          <w:rFonts w:ascii="Arial" w:hAnsi="Arial" w:eastAsia="Arial" w:cs="Arial"/>
          <w:sz w:val="24"/>
          <w:szCs w:val="24"/>
        </w:rPr>
        <w:t xml:space="preserve">Que, lo anteriormente expuesto, entonces, demuestra que su representada no tiene la capacidad de acción de un privado, como Órgano de la Administración del Estado se encuentra sometida al principio de legalidad, y más específicamente en este caso, con la legalidad competencial y legalidad presupuestaria, que determina que los órganos de la administración del estado no pueden contratar personal bajo las normas del Código del Trabajo, a menos que la ley los autorice expresamente, y dentro de dicho ámbito de actuación, su representada contrató los servicios de la demandante a través de contratos de prestación de servicios, debido a que esa fue la forma de contratación autorizada por presupuesto, en efecto actuaría dentro del ámbito de sus competencias en virtud de lo dispuesto en el artículo 4° inciso segundo y articulo 9°inciso 3° del D.L. 1263 sobre administración financiera del Estado; en relación con el artículo 1 de las leyes de presupuestos para los años respectivos, en la partida y glosa correspondiente.</w:t>
      </w:r>
    </w:p>
    <w:p>
      <w:pPr>
        <w:jc w:val="both"/>
      </w:pPr>
      <w:r>
        <w:rPr>
          <w:rFonts w:ascii="Arial" w:hAnsi="Arial" w:eastAsia="Arial" w:cs="Arial"/>
          <w:sz w:val="24"/>
          <w:szCs w:val="24"/>
        </w:rPr>
        <w:t xml:space="preserve">Comenta que, así lo habría entendido la Excelentísima Corte Suprema de Justicia que, sin desconocer el régimen de contratación autorizado por el artículo 11 de la Ley 18.834, reconocen relación laboral en el evento de que se acredite en primer lugar que la contratación se realiza al margen del artículo 11 y además se acredita el vínculo de subordinación y dependencia propio de la relación laboral. Esto se puede observar en los considerando octavo, noveno y décimo de la sentencia dictada por la Excelentísima Corte Suprema de Justicia, en causa rol 11584- 2014, donde el máximo tribunal reconoce la competencia de los tribunales laborales de justicia para pronunciarse acerca de los derechos de los trabajadores una vez que se acredite una relación laboral de dependencia y subordinación, solo en el caso de que se acredite la inexistencia de los supuestos del artículo 4 de la Ley 18.883 (símil al artículo 11 de la Ley 18.834), de la forma que sigue: “Octavo: Que, en el reproducido artículo 1° del Código del Trabajo, se consignan, además de la ya referida premisa general, una excepción y una contra excepción. En efecto, la excepción a la aplicación del Código del Trabajo la constituyen los funcionarios de la Administración del Estado, centralizada y descentralizada, del Congreso Nacional y del Poder Judicial, los trabajadores de las empresas o instituciones del Estado o de aquéllas en que tenga aportes, participación o representación, pero esta situación excepcional tiene cabida únicamente en el evento que dichos funcionarios o trabajadores se encuentren sometidos por ley a un estatuto especial. Por su parte, la contra excepción se formula abarcando a todos los trabajadores de las entidades señaladas, a quienes se vuelve a la regencia del Código del Trabajo, sólo en los aspectos o materias no regulados en sus respectivos estatutos, siempre que ellas no fueren contrarias a estos últimos. En otros términos, se someten al Código del Trabajo y leyes complementarias los funcionarios de la Administración del Estado que no se encuentren sometidos por ley a un estatuto especial y, aun contando con dicho estatuto, si éste no regula el aspecto o materia de que se trate; en este último caso, en el evento que no se oponga a su marco jurídico. Noveno: Que, por consiguiente, si se trata de una persona natural que no se encuentra sometida a estatuto especial, sea porque no ingresó a prestar servicios en la forma que dicha normativa especial prevé, o porque tampoco lo hizo en las condiciones que esa normativa establece –planta, contrata, suplente-, lo que en la especie acontece, inconcuso resulta que la disyuntiva se orienta hacia la aplicación del Código del Trabajo o del Código Civil, conclusión que deriva de que en el caso se invoca el artículo 4° de la Ley N° 18.883, norma que, sustrayéndose del marco jurídico estatutario que establece para los funcionarios que regula, permite contratar sobre la base de honorarios en las condiciones que allí se describen y que se consignaron en el fundamento quinto, las que, en general, se asimilan al arrendamiento de servicios personales regulado en el Código Civil y que, ausentes, excluyen de su ámbito las vinculaciones pertinentes, correspondiendo subsumirlas en la normativa del Código del Trabajo, en el evento que se presenten los rasgos característicos de este tipo de relaciones – prestación de servicios personales, bajo subordinación y dependencia y a cambio de una remuneración, según ya se dijo-, no sólo porque la vigencia del Código del Trabajo constituye la regla general en el campo de las relaciones personales, sino porque no es dable admitir la informalidad laboral y suponer que por tratarse de un órgano del Estado, que debe someterse al principio de la juridicidad, recogido en los artículos 6 y 7 de la Constitución Política de la República, puede invocar esa legalidad para propiciar dicha precariedad e informalidad laboral, la que por lo demás se encuentra proscrita en un Estado de Derecho. Décimo: Que, en consecuencia, la acertada interpretación del artículo 1° del Código del Trabajo, en relación, en este caso, con el artículo 4° de la Ley N° 18.883, está dada por la vigencia de dicho Código del Trabajo para las personas naturales contratadas por la Administración del Estado, en la especie una Municipalidad, que aun habiendo suscrito sucesivos contratos de prestación de servicios a honorarios, por permitírselo el estatuto especial que regula a la entidad contratante, prestan servicios en las condiciones previstas por el Código del ramo. En otros términos, se uniforma la jurisprudencia, en el sentido que corresponde calificar como vinculaciones laborales, sometidas al Código del Trabajo, a las relaciones habidas entre una persona natural y un órgano de la Administración del Estado, en la especie, una Municipalidad, en la medida que dichas vinculaciones se desarrollen fuera del marco legal que establece –para el caso- el artículo 4° de la Ley N° 18.883, que autoriza la contratación sobre la base de honorarios ajustada a las condiciones que dicha norma describe, en la medida que las relaciones se conformen a las exigencias establecidas por el legislador laboral para los efectos de entenderlas reguladas por la codificación correspondiente. Por lo tanto, forzoso resulta concluir que la relación entre mi representada y la demandante es civil, y amparada por un contrato de honorarios, que se encuentra autorizada por el Estatuto Administrativo en su artículo 11 inciso segundo y tercero que dispone “además, se podrá contratar sobre la base de honorarios, la prestación de servicios para cometidos específicos, conforme a las normas generales. Las personas contratadas a honorarios se regirán por las reglas que establezca el respectivo contrato y no les serán aplicables las disposiciones de este Estatuto”.</w:t>
      </w:r>
    </w:p>
    <w:p>
      <w:pPr>
        <w:jc w:val="both"/>
      </w:pPr>
      <w:r>
        <w:rPr>
          <w:rFonts w:ascii="Arial" w:hAnsi="Arial" w:eastAsia="Arial" w:cs="Arial"/>
          <w:sz w:val="24"/>
          <w:szCs w:val="24"/>
        </w:rPr>
        <w:t xml:space="preserve">Por todo lo expuesto, solicita el rechazo de la acción de despido injustificado, basado en la inexistencia de la relación laboral, y por tanto, al pago de las indemnizaciones por años de servicio, del recargo demandado, y de la indemnización sustitutiva de aviso previo, y prestaciones demandadas; en atención a lo argumentado anteriormente abordados, agregando que, éstas proceden solo en el evento de que se dé termino a una relación laboral regida por un contrato de trabajo o que tenga las características de una relación laboral, esto es, subordinación y dependencia, lo que correspondería a la demandante acreditar en éstos autos. Y, adicionalmente, en cuanto al feriado legal y proporcional¸ solicita su rechazo, por improcedente en atención a que niega la relación laboral que ha pretendido la demandante en estos autos.</w:t>
      </w:r>
    </w:p>
    <w:p>
      <w:pPr>
        <w:jc w:val="both"/>
      </w:pPr>
      <w:r>
        <w:rPr>
          <w:rFonts w:ascii="Arial" w:hAnsi="Arial" w:eastAsia="Arial" w:cs="Arial"/>
          <w:sz w:val="24"/>
          <w:szCs w:val="24"/>
        </w:rPr>
        <w:t xml:space="preserve">Solicita, en el evento de ser rechazada su pretensión, considerar que la demandante ha hecho uso de los días de descanso otorgados en el contrato de prestación de servicios, cuya existencia también pretende probar en juicio.</w:t>
      </w:r>
    </w:p>
    <w:p>
      <w:pPr>
        <w:jc w:val="both"/>
      </w:pPr>
      <w:r>
        <w:rPr>
          <w:rFonts w:ascii="Arial" w:hAnsi="Arial" w:eastAsia="Arial" w:cs="Arial"/>
          <w:sz w:val="24"/>
          <w:szCs w:val="24"/>
        </w:rPr>
        <w:t xml:space="preserve">Finalmente, estima que la sanción de nulidad del despido no procede, en primer lugar, porque, como se ha dicho reiteradamente, niega la relación laboral alegada, y en el evento de que se acoja la demanda, por los siguientes argumentos: a. Porque no existe deuda por pago de cotizaciones previsionales y de salud; estima que en el improbable evento de que se acoja la declaración de relación laboral, tener en consideración la especial situación en cuanto a la declaración y pago de las cotizaciones previsionales y de salud regulada para los trabajadores independientes en los artículos 89 a 92 del D.L. 3500, en virtud de esta normativa, es la demandante, como trabajador independiente, quien tiene la obligación del pago de sus cotizaciones previsionales, la ley ha establecido un mecanismo de determinación y pago de estas cotizaciones en las que el contratante, en este caso su representada, no tiene participación alguna, no obstante lo anterior, si han asumido un rol en este proceso, debido a que como órganos de la administración del estado, en conformidad a lo dispuesto por el artículo 7 de la CPR. deben actuar válidamente dentro de su competencia y en la forma que prescribe la ley, y la ley establece que deben retener y pagar al SII, el 10% de los honorarios de quienes presenten servicios a su favor, en atención a lo anterior, y tal como dice lo acreditará en la etapa procesal correspondiente, ha retenido y pagado el 10% de los honorarios de doña Marcela Acevedo, en todo el tiempo que ésta ha prestado servicios, y conforme al procedimiento regulado en los artículos 89 a 92 del D.L. 3.500, es esta suma la que debe destinar la Tesorería General de la República para pagar a la administradora de fondos de pensiones, Isapre o Fonasa, las cotizaciones previsionales y de salud de los trabajadores, conforme al monto que determine el SII.</w:t>
      </w:r>
    </w:p>
    <w:p>
      <w:pPr>
        <w:jc w:val="both"/>
      </w:pPr>
      <w:r>
        <w:rPr>
          <w:rFonts w:ascii="Arial" w:hAnsi="Arial" w:eastAsia="Arial" w:cs="Arial"/>
          <w:sz w:val="24"/>
          <w:szCs w:val="24"/>
        </w:rPr>
        <w:t xml:space="preserve">En consecuencia, en atención a que ha cumplido, dice, fielmente con la obligación impuesta por la ley, y que gracias a ésta conducta han proveído de fondos para el pago de las cotizaciones previsionales y de salud de la demandante, no corresponde entonces que se declare la sanción de nulidad del despido en atención a que no existe deuda por este concepto, que su representada actuó conforme al imperativo legal imperante en el periodo que la demandante prestó servicios a beneficio de su representada, y, que, antes de la dictación de una sentencia judicial que declare la relación laboral, su representada no tiene otro margen de acción, y finalmente, porque la sanción del artículo 162 del Código del Trabajo constituye un castigo al empleador que, reteniendo los fondos que corresponde pagar a las instituciones de seguridad social, desvía su pago, en perjuicio del trabajador, y todas estas hipótesis no han estado presente en el actuar de su representada.</w:t>
      </w:r>
    </w:p>
    <w:p>
      <w:pPr>
        <w:jc w:val="both"/>
      </w:pPr>
      <w:r>
        <w:rPr>
          <w:rFonts w:ascii="Arial" w:hAnsi="Arial" w:eastAsia="Arial" w:cs="Arial"/>
          <w:sz w:val="24"/>
          <w:szCs w:val="24"/>
        </w:rPr>
        <w:t xml:space="preserve">b. Improcedencia de la Sanción del artículo 162 del Código del Trabajo a órganos de la administración del estado; asimismo, en el evento de desechar el argumento antes planteado para rechazar la sanción, solicita tener presente la jurisprudencia de nuestra Excelentísima Corte Suprema de Justicia, en fallo de 12 de junio de 2018, en causa Rol N°42.636-2016, en el cual, realizando un análisis de la sanción contemplada en el inciso 7° del artículo 162 del Código del Trabajo, y la procedencia de su aplicación a Órganos del Estado, señala: “no obstante sostenerse la procedencia de la punición que contempla el inciso séptimo del artículo 162 del Código del Trabajo cuando es la sentencia de grado la que reconoce la existencia de la relación laboral, atendida su evidente naturaleza declarativa, que lleva a concluir que la obligación de enterar las cotizaciones previsionales se encuentra vigentes desde que comenzaron a pagarse las remuneraciones, esto es, desde la data en que las partes iniciaron realmente la relación laboral, en el caso específico en el que el demandado corresponde a un organismo público que se vinculó con el trabajador afincado a una relación estatutaria, esta corte modificó su postura, pues, tratándose en su origen, de contratos a honorarios celebrados por órganos de la administración del estado- entendida en los términos del artículo 1° de la Ley 18.575 – concurre un elemento que autoriza a diferenciar la aplicación de la referida institución, cual es que fueron suscritos al amparo de un estatuto legal determinado, que, en principio, les otorgaba una presunción de legalidad, lo que permite entender que no se encuentran típicamente en la hipótesis para la que se previó la figura de nulidad del despido. Por otro lado la aplicación en estos casos de la sanción de referencia se desnaturaliza, por cuanto los Órganos del Estado no cuentan con la capacidad de convalidar libremente el despido en la oportunidad que estimen del caso, desde que, para ello, requieren por regla general, de un pronunciamiento judicial condenatorio, lo que grava en forma desigual al ente público, convirtiéndolo en una alternativa indemnizatoria adicional para el trabajador, que incluso puede llegar a sustituir las indemnizaciones propias del despido”.</w:t>
      </w:r>
    </w:p>
    <w:p>
      <w:pPr>
        <w:jc w:val="both"/>
      </w:pPr>
      <w:r>
        <w:rPr>
          <w:rFonts w:ascii="Arial" w:hAnsi="Arial" w:eastAsia="Arial" w:cs="Arial"/>
          <w:sz w:val="24"/>
          <w:szCs w:val="24"/>
        </w:rPr>
        <w:t xml:space="preserve">Por tanto, es que solicita tener por contestada la demanda de autos, y en definitiva, rechazar la acción deducida en todas sus partes, y también del pago de las indemnizaciones y prestaciones que se demandan, por los argumentos planteados, con expresa condenación en costas a la demandante.</w:t>
      </w:r>
    </w:p>
    <w:p>
      <w:pPr>
        <w:jc w:val="both"/>
      </w:pPr>
      <w:r>
        <w:rPr>
          <w:rFonts w:ascii="Arial" w:hAnsi="Arial" w:eastAsia="Arial" w:cs="Arial"/>
          <w:sz w:val="24"/>
          <w:szCs w:val="24"/>
        </w:rPr>
        <w:t xml:space="preserve">TERCERO: Que, en audiencia preparatoria y luego de llamar a las partes a conciliación, se recibió la causa a prueba, fijando como puntos sobre los que recayó la prueba de las partes: 1. Efectividad que entre las partes existió relación laboral y, condiciones de esta última, conforme a lo señalado en el libelo. Fecha de inicio y de término, naturaleza de los servicios, jornada de trabajo, si es que la hubo y composición y monto de la remuneración percibida. 2. Si, la relación laboral terminó con el despido de la actora, en la forma como se alega en la demanda. Hechos y circunstancias que lo acrediten. 3. De ser efectivo lo anterior si, a la fecha del despido, se encontraban declaradas y enteradas, en tiempo y forma, las cotizaciones de seguridad social indicadas en el libelo. 4. De ser efectivo lo anterior, procedencia, periodos y montos específicos del feriado proporcional que se demanda.</w:t>
      </w:r>
    </w:p>
    <w:p>
      <w:pPr>
        <w:jc w:val="both"/>
      </w:pPr>
      <w:r>
        <w:rPr>
          <w:rFonts w:ascii="Arial" w:hAnsi="Arial" w:eastAsia="Arial" w:cs="Arial"/>
          <w:sz w:val="24"/>
          <w:szCs w:val="24"/>
        </w:rPr>
        <w:t xml:space="preserve">CUARTO: Que, la parte demandante incorporó y rindió los siguientes medios probatorios:</w:t>
      </w:r>
    </w:p>
    <w:p>
      <w:pPr>
        <w:jc w:val="both"/>
      </w:pPr>
      <w:r>
        <w:rPr>
          <w:rFonts w:ascii="Arial" w:hAnsi="Arial" w:eastAsia="Arial" w:cs="Arial"/>
          <w:sz w:val="24"/>
          <w:szCs w:val="24"/>
        </w:rPr>
        <w:t xml:space="preserve">Documental:</w:t>
      </w:r>
    </w:p>
    <w:p>
      <w:pPr>
        <w:jc w:val="both"/>
      </w:pPr>
      <w:r>
        <w:rPr>
          <w:rFonts w:ascii="Arial" w:hAnsi="Arial" w:eastAsia="Arial" w:cs="Arial"/>
          <w:sz w:val="24"/>
          <w:szCs w:val="24"/>
        </w:rPr>
        <w:t xml:space="preserve">1. Convenio de honorarios de fecha 07 de julio de 2016.</w:t>
      </w:r>
    </w:p>
    <w:p>
      <w:pPr>
        <w:jc w:val="both"/>
      </w:pPr>
      <w:r>
        <w:rPr>
          <w:rFonts w:ascii="Arial" w:hAnsi="Arial" w:eastAsia="Arial" w:cs="Arial"/>
          <w:sz w:val="24"/>
          <w:szCs w:val="24"/>
        </w:rPr>
        <w:t xml:space="preserve">2. Convenio de honorarios de fecha 16 de enero de 2017.</w:t>
      </w:r>
    </w:p>
    <w:p>
      <w:pPr>
        <w:jc w:val="both"/>
      </w:pPr>
      <w:r>
        <w:rPr>
          <w:rFonts w:ascii="Arial" w:hAnsi="Arial" w:eastAsia="Arial" w:cs="Arial"/>
          <w:sz w:val="24"/>
          <w:szCs w:val="24"/>
        </w:rPr>
        <w:t xml:space="preserve">3. Convenio de honorarios de fecha 15 de enero de 2018.</w:t>
      </w:r>
    </w:p>
    <w:p>
      <w:pPr>
        <w:jc w:val="both"/>
      </w:pPr>
      <w:r>
        <w:rPr>
          <w:rFonts w:ascii="Arial" w:hAnsi="Arial" w:eastAsia="Arial" w:cs="Arial"/>
          <w:sz w:val="24"/>
          <w:szCs w:val="24"/>
        </w:rPr>
        <w:t xml:space="preserve">4. Convenio de honorarios de fecha 16 de enero de 2019.</w:t>
      </w:r>
    </w:p>
    <w:p>
      <w:pPr>
        <w:jc w:val="both"/>
      </w:pPr>
      <w:r>
        <w:rPr>
          <w:rFonts w:ascii="Arial" w:hAnsi="Arial" w:eastAsia="Arial" w:cs="Arial"/>
          <w:sz w:val="24"/>
          <w:szCs w:val="24"/>
        </w:rPr>
        <w:t xml:space="preserve">5. Convenio de honorarios de fecha 15 de enero de 2020.</w:t>
      </w:r>
    </w:p>
    <w:p>
      <w:pPr>
        <w:jc w:val="both"/>
      </w:pPr>
      <w:r>
        <w:rPr>
          <w:rFonts w:ascii="Arial" w:hAnsi="Arial" w:eastAsia="Arial" w:cs="Arial"/>
          <w:sz w:val="24"/>
          <w:szCs w:val="24"/>
        </w:rPr>
        <w:t xml:space="preserve">6. Boletas de honorarios e informes actividades mensuales meses julio a diciembre año 2016.</w:t>
      </w:r>
    </w:p>
    <w:p>
      <w:pPr>
        <w:jc w:val="both"/>
      </w:pPr>
      <w:r>
        <w:rPr>
          <w:rFonts w:ascii="Arial" w:hAnsi="Arial" w:eastAsia="Arial" w:cs="Arial"/>
          <w:sz w:val="24"/>
          <w:szCs w:val="24"/>
        </w:rPr>
        <w:t xml:space="preserve">7. Boletas de honorarios e informes actividades mensuales meses enero a diciembre 2017.</w:t>
      </w:r>
    </w:p>
    <w:p>
      <w:pPr>
        <w:jc w:val="both"/>
      </w:pPr>
      <w:r>
        <w:rPr>
          <w:rFonts w:ascii="Arial" w:hAnsi="Arial" w:eastAsia="Arial" w:cs="Arial"/>
          <w:sz w:val="24"/>
          <w:szCs w:val="24"/>
        </w:rPr>
        <w:t xml:space="preserve">8. Boletas de honorarios e informes actividades mensuales meses enero a diciembre 2018.</w:t>
      </w:r>
    </w:p>
    <w:p>
      <w:pPr>
        <w:jc w:val="both"/>
      </w:pPr>
      <w:r>
        <w:rPr>
          <w:rFonts w:ascii="Arial" w:hAnsi="Arial" w:eastAsia="Arial" w:cs="Arial"/>
          <w:sz w:val="24"/>
          <w:szCs w:val="24"/>
        </w:rPr>
        <w:t xml:space="preserve">9. Boletas de honorarios e informes actividades mensuales meses enero a diciembre año 2019.</w:t>
      </w:r>
    </w:p>
    <w:p>
      <w:pPr>
        <w:jc w:val="both"/>
      </w:pPr>
      <w:r>
        <w:rPr>
          <w:rFonts w:ascii="Arial" w:hAnsi="Arial" w:eastAsia="Arial" w:cs="Arial"/>
          <w:sz w:val="24"/>
          <w:szCs w:val="24"/>
        </w:rPr>
        <w:t xml:space="preserve">10. Boletas de honorarios e informes actividades mensuales meses enero y febrero año 2020.</w:t>
      </w:r>
    </w:p>
    <w:p>
      <w:pPr>
        <w:jc w:val="both"/>
      </w:pPr>
      <w:r>
        <w:rPr>
          <w:rFonts w:ascii="Arial" w:hAnsi="Arial" w:eastAsia="Arial" w:cs="Arial"/>
          <w:sz w:val="24"/>
          <w:szCs w:val="24"/>
        </w:rPr>
        <w:t xml:space="preserve">11. Registro de asistencia de los meses de marzo, mayo a diciembre de 2017.</w:t>
      </w:r>
    </w:p>
    <w:p>
      <w:pPr>
        <w:jc w:val="both"/>
      </w:pPr>
      <w:r>
        <w:rPr>
          <w:rFonts w:ascii="Arial" w:hAnsi="Arial" w:eastAsia="Arial" w:cs="Arial"/>
          <w:sz w:val="24"/>
          <w:szCs w:val="24"/>
        </w:rPr>
        <w:t xml:space="preserve">12. Registro de asistencia de los meses de enero a diciembre de 2018.</w:t>
      </w:r>
    </w:p>
    <w:p>
      <w:pPr>
        <w:jc w:val="both"/>
      </w:pPr>
      <w:r>
        <w:rPr>
          <w:rFonts w:ascii="Arial" w:hAnsi="Arial" w:eastAsia="Arial" w:cs="Arial"/>
          <w:sz w:val="24"/>
          <w:szCs w:val="24"/>
        </w:rPr>
        <w:t xml:space="preserve">13. Registro de asistencia de los meses de enero a octubre y diciembre del año 2019.</w:t>
      </w:r>
    </w:p>
    <w:p>
      <w:pPr>
        <w:jc w:val="both"/>
      </w:pPr>
      <w:r>
        <w:rPr>
          <w:rFonts w:ascii="Arial" w:hAnsi="Arial" w:eastAsia="Arial" w:cs="Arial"/>
          <w:sz w:val="24"/>
          <w:szCs w:val="24"/>
        </w:rPr>
        <w:t xml:space="preserve">14. Registro de asistencia del mes de enero del año 2020.</w:t>
      </w:r>
    </w:p>
    <w:p>
      <w:pPr>
        <w:jc w:val="both"/>
      </w:pPr>
      <w:r>
        <w:rPr>
          <w:rFonts w:ascii="Arial" w:hAnsi="Arial" w:eastAsia="Arial" w:cs="Arial"/>
          <w:sz w:val="24"/>
          <w:szCs w:val="24"/>
        </w:rPr>
        <w:t xml:space="preserve">15. Credencial para ingreso a obras Hospital Gustavo Fricke Viña del Mar.</w:t>
      </w:r>
    </w:p>
    <w:p>
      <w:pPr>
        <w:jc w:val="both"/>
      </w:pPr>
      <w:r>
        <w:rPr>
          <w:rFonts w:ascii="Arial" w:hAnsi="Arial" w:eastAsia="Arial" w:cs="Arial"/>
          <w:sz w:val="24"/>
          <w:szCs w:val="24"/>
        </w:rPr>
        <w:t xml:space="preserve">16. Credencial de Marcela Acevedo Servicio de Salud Viña del Mar- Quillota.</w:t>
      </w:r>
    </w:p>
    <w:p>
      <w:pPr>
        <w:jc w:val="both"/>
      </w:pPr>
      <w:r>
        <w:rPr>
          <w:rFonts w:ascii="Arial" w:hAnsi="Arial" w:eastAsia="Arial" w:cs="Arial"/>
          <w:sz w:val="24"/>
          <w:szCs w:val="24"/>
        </w:rPr>
        <w:t xml:space="preserve">17. Permisos administrativos años 2016 a 2019.</w:t>
      </w:r>
    </w:p>
    <w:p>
      <w:pPr>
        <w:jc w:val="both"/>
      </w:pPr>
      <w:r>
        <w:rPr>
          <w:rFonts w:ascii="Arial" w:hAnsi="Arial" w:eastAsia="Arial" w:cs="Arial"/>
          <w:sz w:val="24"/>
          <w:szCs w:val="24"/>
        </w:rPr>
        <w:t xml:space="preserve">18. Feriados legales años 2017, 2018 y 2019.</w:t>
      </w:r>
    </w:p>
    <w:p>
      <w:pPr>
        <w:jc w:val="both"/>
      </w:pPr>
      <w:r>
        <w:rPr>
          <w:rFonts w:ascii="Arial" w:hAnsi="Arial" w:eastAsia="Arial" w:cs="Arial"/>
          <w:sz w:val="24"/>
          <w:szCs w:val="24"/>
        </w:rPr>
        <w:t xml:space="preserve">19. Correo “formato informe mensual” de fecha 15 de febrero de 2019.</w:t>
      </w:r>
    </w:p>
    <w:p>
      <w:pPr>
        <w:jc w:val="both"/>
      </w:pPr>
      <w:r>
        <w:rPr>
          <w:rFonts w:ascii="Arial" w:hAnsi="Arial" w:eastAsia="Arial" w:cs="Arial"/>
          <w:sz w:val="24"/>
          <w:szCs w:val="24"/>
        </w:rPr>
        <w:t xml:space="preserve">20. Correo “depósito del sueldo” de fecha 03 de octubre de 2019.</w:t>
      </w:r>
    </w:p>
    <w:p>
      <w:pPr>
        <w:jc w:val="both"/>
      </w:pPr>
      <w:r>
        <w:rPr>
          <w:rFonts w:ascii="Arial" w:hAnsi="Arial" w:eastAsia="Arial" w:cs="Arial"/>
          <w:sz w:val="24"/>
          <w:szCs w:val="24"/>
        </w:rPr>
        <w:t xml:space="preserve">21. Correo “horas compensatorias” de fecha 20 de febrero de 2020.</w:t>
      </w:r>
    </w:p>
    <w:p>
      <w:pPr>
        <w:jc w:val="both"/>
      </w:pPr>
      <w:r>
        <w:rPr>
          <w:rFonts w:ascii="Arial" w:hAnsi="Arial" w:eastAsia="Arial" w:cs="Arial"/>
          <w:sz w:val="24"/>
          <w:szCs w:val="24"/>
        </w:rPr>
        <w:t xml:space="preserve">22. Serie de correos “HOSER Ecocardiografos tipo I y tipo II” que van desde el 15 de octubre al 12 de noviembre de 2019.</w:t>
      </w:r>
    </w:p>
    <w:p>
      <w:pPr>
        <w:jc w:val="both"/>
      </w:pPr>
      <w:r>
        <w:rPr>
          <w:rFonts w:ascii="Arial" w:hAnsi="Arial" w:eastAsia="Arial" w:cs="Arial"/>
          <w:sz w:val="24"/>
          <w:szCs w:val="24"/>
        </w:rPr>
        <w:t xml:space="preserve">23. Correo “información importante” de fecha 09 de marzo de 2017.</w:t>
      </w:r>
    </w:p>
    <w:p>
      <w:pPr>
        <w:jc w:val="both"/>
      </w:pPr>
      <w:r>
        <w:rPr>
          <w:rFonts w:ascii="Arial" w:hAnsi="Arial" w:eastAsia="Arial" w:cs="Arial"/>
          <w:sz w:val="24"/>
          <w:szCs w:val="24"/>
        </w:rPr>
        <w:t xml:space="preserve">24. Serie de correos “documentación ingreso a obra” que van desde el 13 al 24 de enero de 2020.</w:t>
      </w:r>
    </w:p>
    <w:p>
      <w:pPr>
        <w:jc w:val="both"/>
      </w:pPr>
      <w:r>
        <w:rPr>
          <w:rFonts w:ascii="Arial" w:hAnsi="Arial" w:eastAsia="Arial" w:cs="Arial"/>
          <w:sz w:val="24"/>
          <w:szCs w:val="24"/>
        </w:rPr>
        <w:t xml:space="preserve">25. Serie de correos “visitas al nuevo hospital” que van desde el 02 al 08 de enero de 2020.</w:t>
      </w:r>
    </w:p>
    <w:p>
      <w:pPr>
        <w:jc w:val="both"/>
      </w:pPr>
      <w:r>
        <w:rPr>
          <w:rFonts w:ascii="Arial" w:hAnsi="Arial" w:eastAsia="Arial" w:cs="Arial"/>
          <w:sz w:val="24"/>
          <w:szCs w:val="24"/>
        </w:rPr>
        <w:t xml:space="preserve">26. Serie de correos “Informe Mensual OHL N° 71, mes de abril 2019” que van desde el 13 al 16 de mayo de 2019.</w:t>
      </w:r>
    </w:p>
    <w:p>
      <w:pPr>
        <w:jc w:val="both"/>
      </w:pPr>
      <w:r>
        <w:rPr>
          <w:rFonts w:ascii="Arial" w:hAnsi="Arial" w:eastAsia="Arial" w:cs="Arial"/>
          <w:sz w:val="24"/>
          <w:szCs w:val="24"/>
        </w:rPr>
        <w:t xml:space="preserve">27. Correo “Trabajos con químicos de impermeabilización o revestimiento” de fecha 10 de junio de 2019.</w:t>
      </w:r>
    </w:p>
    <w:p>
      <w:pPr>
        <w:jc w:val="both"/>
      </w:pPr>
      <w:r>
        <w:rPr>
          <w:rFonts w:ascii="Arial" w:hAnsi="Arial" w:eastAsia="Arial" w:cs="Arial"/>
          <w:sz w:val="24"/>
          <w:szCs w:val="24"/>
        </w:rPr>
        <w:t xml:space="preserve">28. Certificado de antigüedad laboral de fecha 12 de diciembre de 2019, emitido por el Servicio de Salud Viña del Mar Quillota.</w:t>
      </w:r>
    </w:p>
    <w:p>
      <w:pPr>
        <w:jc w:val="both"/>
      </w:pPr>
      <w:r>
        <w:rPr>
          <w:rFonts w:ascii="Arial" w:hAnsi="Arial" w:eastAsia="Arial" w:cs="Arial"/>
          <w:sz w:val="24"/>
          <w:szCs w:val="24"/>
        </w:rPr>
        <w:t xml:space="preserve">29. Copia de pantalla del Sistema de Información de Recursos Humanos (SIRH) del SSVQ, respecto de Marcela Acevedo Cuevas, obtenido con fecha 12.12.2019.</w:t>
      </w:r>
    </w:p>
    <w:p>
      <w:pPr>
        <w:jc w:val="both"/>
      </w:pPr>
      <w:r>
        <w:rPr>
          <w:rFonts w:ascii="Arial" w:hAnsi="Arial" w:eastAsia="Arial" w:cs="Arial"/>
          <w:sz w:val="24"/>
          <w:szCs w:val="24"/>
        </w:rPr>
        <w:t xml:space="preserve">30. Copia de pantalla de perfil de Marcela Acevedo Cuevas, referente a la relación contractual de Marcela Acevedo Cuevas, obtenida con fecha 12.12.2019.</w:t>
      </w:r>
    </w:p>
    <w:p>
      <w:pPr>
        <w:jc w:val="both"/>
      </w:pPr>
      <w:r>
        <w:rPr>
          <w:rFonts w:ascii="Arial" w:hAnsi="Arial" w:eastAsia="Arial" w:cs="Arial"/>
          <w:sz w:val="24"/>
          <w:szCs w:val="24"/>
        </w:rPr>
        <w:t xml:space="preserve">31. Informe final N°1004 de fecha 31.12.2019 sobre auditoría y examen de cuentas al proyecto de inversión código BIP N°30120941-0, denominado “Diseño y Construcción Hospital Provincial Marga”, ejecutado por el Servicio de Salud Viña del Mar – Quillota, emitido por la Contraloría Regional de la República de la Región de Valparaíso</w:t>
      </w:r>
    </w:p>
    <w:p>
      <w:pPr>
        <w:jc w:val="both"/>
      </w:pPr>
      <w:r>
        <w:rPr>
          <w:rFonts w:ascii="Arial" w:hAnsi="Arial" w:eastAsia="Arial" w:cs="Arial"/>
          <w:sz w:val="24"/>
          <w:szCs w:val="24"/>
        </w:rPr>
        <w:t xml:space="preserve">Confesional: Se desistió.</w:t>
      </w:r>
    </w:p>
    <w:p>
      <w:pPr>
        <w:jc w:val="both"/>
      </w:pPr>
      <w:r>
        <w:rPr>
          <w:rFonts w:ascii="Arial" w:hAnsi="Arial" w:eastAsia="Arial" w:cs="Arial"/>
          <w:sz w:val="24"/>
          <w:szCs w:val="24"/>
        </w:rPr>
        <w:t xml:space="preserve">Testimonial: Previo juramento de rigor, prestaron declaración:</w:t>
      </w:r>
    </w:p>
    <w:p>
      <w:pPr>
        <w:jc w:val="both"/>
      </w:pPr>
      <w:r>
        <w:rPr>
          <w:rFonts w:ascii="Arial" w:hAnsi="Arial" w:eastAsia="Arial" w:cs="Arial"/>
          <w:sz w:val="24"/>
          <w:szCs w:val="24"/>
        </w:rPr>
        <w:t xml:space="preserve">1. Karem Inés Navarrete Labarrera, Rut: 15.073.882-2, abogada, domiciliada en, La Portada #720, Paso Hondo, Quilpué.</w:t>
      </w:r>
    </w:p>
    <w:p>
      <w:pPr>
        <w:jc w:val="both"/>
      </w:pPr>
      <w:r>
        <w:rPr>
          <w:rFonts w:ascii="Arial" w:hAnsi="Arial" w:eastAsia="Arial" w:cs="Arial"/>
          <w:sz w:val="24"/>
          <w:szCs w:val="24"/>
        </w:rPr>
        <w:t xml:space="preserve">2. Alejandra Eliana Godoy Meneses, Ingeniero Civil Biomédico, domiciliado en Álvarez 132 depto. 188, Viña del Mar.</w:t>
      </w:r>
    </w:p>
    <w:p>
      <w:pPr>
        <w:jc w:val="both"/>
      </w:pPr>
      <w:r>
        <w:rPr>
          <w:rFonts w:ascii="Arial" w:hAnsi="Arial" w:eastAsia="Arial" w:cs="Arial"/>
          <w:sz w:val="24"/>
          <w:szCs w:val="24"/>
        </w:rPr>
        <w:t xml:space="preserve">Exhibición de documentos: La parte solicitó que la contraria exhiba los siguientes documentos, bajo apercibimiento legal:</w:t>
      </w:r>
    </w:p>
    <w:p>
      <w:pPr>
        <w:jc w:val="both"/>
      </w:pPr>
      <w:r>
        <w:rPr>
          <w:rFonts w:ascii="Arial" w:hAnsi="Arial" w:eastAsia="Arial" w:cs="Arial"/>
          <w:sz w:val="24"/>
          <w:szCs w:val="24"/>
        </w:rPr>
        <w:t xml:space="preserve">1. Libro de asistencia o registro de control horario de asistencia respecto de la trabajadora Marcela Acevedo Cuevas, por el periodo comprendido entre los meses de julio de 2016 a febrero de 2020, ambos inclusive.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QUINTO: Que, la demandada, por su parte, rindió los siguientes medios probatorios:</w:t>
      </w:r>
    </w:p>
    <w:p>
      <w:pPr>
        <w:jc w:val="both"/>
      </w:pPr>
      <w:r>
        <w:rPr>
          <w:rFonts w:ascii="Arial" w:hAnsi="Arial" w:eastAsia="Arial" w:cs="Arial"/>
          <w:sz w:val="24"/>
          <w:szCs w:val="24"/>
        </w:rPr>
        <w:t xml:space="preserve">Documental:</w:t>
      </w:r>
    </w:p>
    <w:p>
      <w:pPr>
        <w:jc w:val="both"/>
      </w:pPr>
      <w:r>
        <w:rPr>
          <w:rFonts w:ascii="Arial" w:hAnsi="Arial" w:eastAsia="Arial" w:cs="Arial"/>
          <w:sz w:val="24"/>
          <w:szCs w:val="24"/>
        </w:rPr>
        <w:t xml:space="preserve">1. Boletas de Honorarios del demandante e Informe de Actividades del julio a diciembre de 2016.</w:t>
      </w:r>
    </w:p>
    <w:p>
      <w:pPr>
        <w:jc w:val="both"/>
      </w:pPr>
      <w:r>
        <w:rPr>
          <w:rFonts w:ascii="Arial" w:hAnsi="Arial" w:eastAsia="Arial" w:cs="Arial"/>
          <w:sz w:val="24"/>
          <w:szCs w:val="24"/>
        </w:rPr>
        <w:t xml:space="preserve">2. Boletas de Honorarios del demandante e Informe de Actividades del año 2017.</w:t>
      </w:r>
    </w:p>
    <w:p>
      <w:pPr>
        <w:jc w:val="both"/>
      </w:pPr>
      <w:r>
        <w:rPr>
          <w:rFonts w:ascii="Arial" w:hAnsi="Arial" w:eastAsia="Arial" w:cs="Arial"/>
          <w:sz w:val="24"/>
          <w:szCs w:val="24"/>
        </w:rPr>
        <w:t xml:space="preserve">3. Boletas de Honorarios e Informe de Actividades del demandante del año 2018.</w:t>
      </w:r>
    </w:p>
    <w:p>
      <w:pPr>
        <w:jc w:val="both"/>
      </w:pPr>
      <w:r>
        <w:rPr>
          <w:rFonts w:ascii="Arial" w:hAnsi="Arial" w:eastAsia="Arial" w:cs="Arial"/>
          <w:sz w:val="24"/>
          <w:szCs w:val="24"/>
        </w:rPr>
        <w:t xml:space="preserve">4. Boletas de Honorarios e Informe de Actividades del demandante del año 2019.</w:t>
      </w:r>
    </w:p>
    <w:p>
      <w:pPr>
        <w:jc w:val="both"/>
      </w:pPr>
      <w:r>
        <w:rPr>
          <w:rFonts w:ascii="Arial" w:hAnsi="Arial" w:eastAsia="Arial" w:cs="Arial"/>
          <w:sz w:val="24"/>
          <w:szCs w:val="24"/>
        </w:rPr>
        <w:t xml:space="preserve">5. Boletas de Honorarios e Informe de Actividades del demandante de enero y febrero de 2020.</w:t>
      </w:r>
    </w:p>
    <w:p>
      <w:pPr>
        <w:jc w:val="both"/>
      </w:pPr>
      <w:r>
        <w:rPr>
          <w:rFonts w:ascii="Arial" w:hAnsi="Arial" w:eastAsia="Arial" w:cs="Arial"/>
          <w:sz w:val="24"/>
          <w:szCs w:val="24"/>
        </w:rPr>
        <w:t xml:space="preserve">6. Resolución Exenta 7885 de 2 de diciembre de 2016, de la dirección del Servicio de Salud de Viña del Mar, que autoriza la contratación de servicios a honorarios del demandante, por el periodo 2016, imputándolo el gasto al ítem 31-02-002 del Presupuesto del Servicio de Salud.</w:t>
      </w:r>
    </w:p>
    <w:p>
      <w:pPr>
        <w:jc w:val="both"/>
      </w:pPr>
      <w:r>
        <w:rPr>
          <w:rFonts w:ascii="Arial" w:hAnsi="Arial" w:eastAsia="Arial" w:cs="Arial"/>
          <w:sz w:val="24"/>
          <w:szCs w:val="24"/>
        </w:rPr>
        <w:t xml:space="preserve">7. Convenio de Honorarios Nº505, de 7 de julio de 2016 suscrito con la demandante.</w:t>
      </w:r>
    </w:p>
    <w:p>
      <w:pPr>
        <w:jc w:val="both"/>
      </w:pPr>
      <w:r>
        <w:rPr>
          <w:rFonts w:ascii="Arial" w:hAnsi="Arial" w:eastAsia="Arial" w:cs="Arial"/>
          <w:sz w:val="24"/>
          <w:szCs w:val="24"/>
        </w:rPr>
        <w:t xml:space="preserve">8. Resolución Exenta 2266 de 13 de marzo de 2018, de la dirección del Servicio de Salud de Viña del Mar, que autoriza la contratación de servicios a honorarios del demandante, por el periodo 2017, imputándolo el gasto al ítem 31-02-002 del Presupuesto del Servicio de Salud.</w:t>
      </w:r>
    </w:p>
    <w:p>
      <w:pPr>
        <w:jc w:val="both"/>
      </w:pPr>
      <w:r>
        <w:rPr>
          <w:rFonts w:ascii="Arial" w:hAnsi="Arial" w:eastAsia="Arial" w:cs="Arial"/>
          <w:sz w:val="24"/>
          <w:szCs w:val="24"/>
        </w:rPr>
        <w:t xml:space="preserve">9. Convenio de Honorarios Nª34 de 16 de enero de 2017, suscrito con el demandante.</w:t>
      </w:r>
    </w:p>
    <w:p>
      <w:pPr>
        <w:jc w:val="both"/>
      </w:pPr>
      <w:r>
        <w:rPr>
          <w:rFonts w:ascii="Arial" w:hAnsi="Arial" w:eastAsia="Arial" w:cs="Arial"/>
          <w:sz w:val="24"/>
          <w:szCs w:val="24"/>
        </w:rPr>
        <w:t xml:space="preserve">10. Resolución Exenta 2161 de 13 de marzo de 2018, de la dirección del Servicio de Salud de Viña del Mar, que autoriza la contratación de servicios a honorarios del demandante, por el periodo 2018, imputándolo el gasto al ítem 31-02-002 del Presupuesto del Servicio de Salud.</w:t>
      </w:r>
    </w:p>
    <w:p>
      <w:pPr>
        <w:jc w:val="both"/>
      </w:pPr>
      <w:r>
        <w:rPr>
          <w:rFonts w:ascii="Arial" w:hAnsi="Arial" w:eastAsia="Arial" w:cs="Arial"/>
          <w:sz w:val="24"/>
          <w:szCs w:val="24"/>
        </w:rPr>
        <w:t xml:space="preserve">11. Convenio de Honorarios Nª44 de 15 de enero de 2018, suscrito con la demandante.</w:t>
      </w:r>
    </w:p>
    <w:p>
      <w:pPr>
        <w:jc w:val="both"/>
      </w:pPr>
      <w:r>
        <w:rPr>
          <w:rFonts w:ascii="Arial" w:hAnsi="Arial" w:eastAsia="Arial" w:cs="Arial"/>
          <w:sz w:val="24"/>
          <w:szCs w:val="24"/>
        </w:rPr>
        <w:t xml:space="preserve">12. Resolución Exenta 1356 8 de marzo de 2019, de la dirección del Servicio de Salud de Viña del Mar, que autoriza la contratación de servicios a honorarios del demandante, por el periodo 2019, imputándolo el gasto al ítem 31-02-002 del Presupuesto del Servicio de Salud.</w:t>
      </w:r>
    </w:p>
    <w:p>
      <w:pPr>
        <w:jc w:val="both"/>
      </w:pPr>
      <w:r>
        <w:rPr>
          <w:rFonts w:ascii="Arial" w:hAnsi="Arial" w:eastAsia="Arial" w:cs="Arial"/>
          <w:sz w:val="24"/>
          <w:szCs w:val="24"/>
        </w:rPr>
        <w:t xml:space="preserve">13. Convenio de Honorarios Nª32, de 16 de enero de 2019, suscrito con el demandante.</w:t>
      </w:r>
    </w:p>
    <w:p>
      <w:pPr>
        <w:jc w:val="both"/>
      </w:pPr>
      <w:r>
        <w:rPr>
          <w:rFonts w:ascii="Arial" w:hAnsi="Arial" w:eastAsia="Arial" w:cs="Arial"/>
          <w:sz w:val="24"/>
          <w:szCs w:val="24"/>
        </w:rPr>
        <w:t xml:space="preserve">14. Convenio de Honorarios Nª77, de 15 de enero de 2020, suscrito con la demandante.</w:t>
      </w:r>
    </w:p>
    <w:p>
      <w:pPr>
        <w:jc w:val="both"/>
      </w:pPr>
      <w:r>
        <w:rPr>
          <w:rFonts w:ascii="Arial" w:hAnsi="Arial" w:eastAsia="Arial" w:cs="Arial"/>
          <w:sz w:val="24"/>
          <w:szCs w:val="24"/>
        </w:rPr>
        <w:t xml:space="preserve">15. Decreto Nº172 del 14 de febrero de 2019 del Ministerio de Hacienda, que identifica iniciativas de inversión en el presupuesto del sector público, identificando en su página 5, la iniciativa correspondiente a la Normalización del Hospital Dr. Gustavo Fricke, y en especial la de consultorías, identificándola con el subtítulo 31, item02, sub ítem 002.</w:t>
      </w:r>
    </w:p>
    <w:p>
      <w:pPr>
        <w:jc w:val="both"/>
      </w:pPr>
      <w:r>
        <w:rPr>
          <w:rFonts w:ascii="Arial" w:hAnsi="Arial" w:eastAsia="Arial" w:cs="Arial"/>
          <w:sz w:val="24"/>
          <w:szCs w:val="24"/>
        </w:rPr>
        <w:t xml:space="preserve">16. Resolución Afecta 167 de 2013 del Servicio de Salud de Viña del Mar Quillota que aprueba el contrato de ejecución de las obras de construcción del Hospital Dr. Gustavo Fricke de Viña del Mar.</w:t>
      </w:r>
    </w:p>
    <w:p>
      <w:pPr>
        <w:jc w:val="both"/>
      </w:pPr>
      <w:r>
        <w:rPr>
          <w:rFonts w:ascii="Arial" w:hAnsi="Arial" w:eastAsia="Arial" w:cs="Arial"/>
          <w:sz w:val="24"/>
          <w:szCs w:val="24"/>
        </w:rPr>
        <w:t xml:space="preserve">17. Res. Ex. Electrónica Nº4632 de 2 de septiembre de 2020, del Servicio de Salud de Viña del Mar-Quillota que complementa R.E. Nº1736 de 11 de marzo de 2020, que autoriza la explotación total e Inmediata del Hospital Dr. Gustavo Fricke de Viña del Mar, en el sentido de que se tomara como equivalente a la recepción provisoria sin observaciones la recepción tacita de las obras, esto es el 13 de marzo de 2020.</w:t>
      </w:r>
    </w:p>
    <w:p>
      <w:pPr>
        <w:jc w:val="both"/>
      </w:pPr>
      <w:r>
        <w:rPr>
          <w:rFonts w:ascii="Arial" w:hAnsi="Arial" w:eastAsia="Arial" w:cs="Arial"/>
          <w:sz w:val="24"/>
          <w:szCs w:val="24"/>
        </w:rPr>
        <w:t xml:space="preserve">18. Res. Ex Nº1736 de 11 de marzo de 2020, de la Dirección del Servicio de Salud de Viña del Mar-Quillota que autoriza la explotación del Hospital Dr. Gustavo Fricke de Viña del Mar.</w:t>
      </w:r>
    </w:p>
    <w:p>
      <w:pPr>
        <w:jc w:val="both"/>
      </w:pPr>
      <w:r>
        <w:rPr>
          <w:rFonts w:ascii="Arial" w:hAnsi="Arial" w:eastAsia="Arial" w:cs="Arial"/>
          <w:sz w:val="24"/>
          <w:szCs w:val="24"/>
        </w:rPr>
        <w:t xml:space="preserve">Confesional: Se desistió.</w:t>
      </w:r>
    </w:p>
    <w:p>
      <w:pPr>
        <w:jc w:val="both"/>
      </w:pPr>
      <w:r>
        <w:rPr>
          <w:rFonts w:ascii="Arial" w:hAnsi="Arial" w:eastAsia="Arial" w:cs="Arial"/>
          <w:sz w:val="24"/>
          <w:szCs w:val="24"/>
        </w:rPr>
        <w:t xml:space="preserve">Testimonial: Previo juramento de rigor, prestaron declaración:</w:t>
      </w:r>
    </w:p>
    <w:p>
      <w:pPr>
        <w:jc w:val="both"/>
      </w:pPr>
      <w:r>
        <w:rPr>
          <w:rFonts w:ascii="Arial" w:hAnsi="Arial" w:eastAsia="Arial" w:cs="Arial"/>
          <w:sz w:val="24"/>
          <w:szCs w:val="24"/>
        </w:rPr>
        <w:t xml:space="preserve">1. Alfredo Segundo Miranda Villarroel, Rut: 13.260.358-8, ingeniero constructor, domiciliado en, Avda. Borgoño N°23160, Concón.</w:t>
      </w:r>
    </w:p>
    <w:p>
      <w:pPr>
        <w:jc w:val="both"/>
      </w:pPr>
      <w:r>
        <w:rPr>
          <w:rFonts w:ascii="Arial" w:hAnsi="Arial" w:eastAsia="Arial" w:cs="Arial"/>
          <w:sz w:val="24"/>
          <w:szCs w:val="24"/>
        </w:rPr>
        <w:t xml:space="preserve">2. Manuel del Transito Urbina Marchant, Rut: 8.918.859-8, abogado, domiciliado en, Florencia 1451, El Retiro, Quilpué.</w:t>
      </w:r>
    </w:p>
    <w:p>
      <w:pPr>
        <w:jc w:val="both"/>
      </w:pPr>
      <w:r>
        <w:rPr>
          <w:rFonts w:ascii="Arial" w:hAnsi="Arial" w:eastAsia="Arial" w:cs="Arial"/>
          <w:sz w:val="24"/>
          <w:szCs w:val="24"/>
        </w:rPr>
        <w:t xml:space="preserve">SEXTO: Que, una vez concluida la incorporación de la prueba, las partes rindieron sus observaciones, las que constan íntegramente registradas en el audio de esta audiencia.</w:t>
      </w:r>
    </w:p>
    <w:p>
      <w:pPr>
        <w:jc w:val="both"/>
      </w:pPr>
      <w:r>
        <w:rPr>
          <w:rFonts w:ascii="Arial" w:hAnsi="Arial" w:eastAsia="Arial" w:cs="Arial"/>
          <w:sz w:val="24"/>
          <w:szCs w:val="24"/>
        </w:rPr>
        <w:t xml:space="preserve">SEPTIMO: Que según consta del mérito de la acción deducida en autos, es menester establecer la existencia de un vínculo de subordinación y dependencia entre las partes y la vigencia de éste.</w:t>
      </w:r>
    </w:p>
    <w:p>
      <w:pPr>
        <w:jc w:val="both"/>
      </w:pPr>
      <w:r>
        <w:rPr>
          <w:rFonts w:ascii="Arial" w:hAnsi="Arial" w:eastAsia="Arial" w:cs="Arial"/>
          <w:sz w:val="24"/>
          <w:szCs w:val="24"/>
        </w:rPr>
        <w:t xml:space="preserve">Que, para ello es menester tener presente, las alegaciones del actor, quien señaló:</w:t>
      </w:r>
    </w:p>
    <w:p>
      <w:pPr>
        <w:jc w:val="both"/>
      </w:pPr>
      <w:r>
        <w:rPr>
          <w:rFonts w:ascii="Arial" w:hAnsi="Arial" w:eastAsia="Arial" w:cs="Arial"/>
          <w:sz w:val="24"/>
          <w:szCs w:val="24"/>
        </w:rPr>
        <w:t xml:space="preserve">-durante un período de 3 años y 8 meses, la persona en cuestión prestó servicios de manera constante al Servicio. Llevando a cabo tareas que implicaban una permanencia y estaban directamente relacionadas con las funciones de la institución. En resumen, su labor durante el contrato no consistía en realizar consultorías o asesorías específicas, sino en desempeñar una función sujeta a la supervisión y dependencia del empleador.</w:t>
      </w:r>
    </w:p>
    <w:p>
      <w:pPr>
        <w:jc w:val="both"/>
      </w:pPr>
      <w:r>
        <w:rPr>
          <w:rFonts w:ascii="Arial" w:hAnsi="Arial" w:eastAsia="Arial" w:cs="Arial"/>
          <w:sz w:val="24"/>
          <w:szCs w:val="24"/>
        </w:rPr>
        <w:t xml:space="preserve">-que, durante toda la duración de su empleo, recibió instrucciones por parte de su empleador directo. Estas instrucciones eran observadas al inicio y al final de su turno de trabajo y implicaban la ejecución de diversas tareas que surgían del poder de mando de su empleador. Eran órdenes claras, precisas y ejercidas directamente sobre el trabajador, sin que este tuviera la posibilidad de negarse a cumplirlas.</w:t>
      </w:r>
    </w:p>
    <w:p>
      <w:pPr>
        <w:jc w:val="both"/>
      </w:pPr>
      <w:r>
        <w:rPr>
          <w:rFonts w:ascii="Arial" w:hAnsi="Arial" w:eastAsia="Arial" w:cs="Arial"/>
          <w:sz w:val="24"/>
          <w:szCs w:val="24"/>
        </w:rPr>
        <w:t xml:space="preserve">-que, el trabajador tenía la obligación no solo de asistir a prestar sus servicios, sino de hacerlo de manera regular y periódica en las instalaciones de la empresa. Cumplió efectivamente con una jornada de trabajo de 44 horas semanales, distribuidas de lunes a viernes, registrando sus horarios de entrada y salida en un libro de asistencia. Esto demuestra su obligación de permanecer continuamente en las instalaciones del demandado, lo que constituye un claro indicio de un vínculo de subordinación y dependencia.</w:t>
      </w:r>
    </w:p>
    <w:p>
      <w:pPr>
        <w:jc w:val="both"/>
      </w:pPr>
      <w:r>
        <w:rPr>
          <w:rFonts w:ascii="Arial" w:hAnsi="Arial" w:eastAsia="Arial" w:cs="Arial"/>
          <w:sz w:val="24"/>
          <w:szCs w:val="24"/>
        </w:rPr>
        <w:t xml:space="preserve">-que siempre realizó su labor en las dependencias del Servicio y en el lugar designado por sus superiores, particularmente en la inspección de la obra Normalización Hospital Gustavo Fricke de Viña del Mar, ubicada en Avenida Álvarez #1532, y otros lugares asignados. No existía, por lo tanto, libertad en cuanto a la forma en que prestaba sus servicios.</w:t>
      </w:r>
    </w:p>
    <w:p>
      <w:pPr>
        <w:jc w:val="both"/>
      </w:pPr>
      <w:r>
        <w:rPr>
          <w:rFonts w:ascii="Arial" w:hAnsi="Arial" w:eastAsia="Arial" w:cs="Arial"/>
          <w:sz w:val="24"/>
          <w:szCs w:val="24"/>
        </w:rPr>
        <w:t xml:space="preserve">-en cuanto al pago de sus servicios, estos se remuneraban a través de boletas electrónicas de honorarios emitidas a nombre del Servicio de Salud Viña del Mar Quillota. Aunque existía un convenio de honorarios en papel, el monto correspondiente se recibía directamente del departamento de remuneraciones de la institución, en pagos similares y de forma mensual durante toda la relación laboral. En la práctica, esto constituía una remuneración mensual encubierta bajo el concepto de "honorario", sujeta a la previa convención, visación y aprobación de informes mensuales de gestión.</w:t>
      </w:r>
    </w:p>
    <w:p>
      <w:pPr>
        <w:jc w:val="both"/>
      </w:pPr>
      <w:r>
        <w:rPr>
          <w:rFonts w:ascii="Arial" w:hAnsi="Arial" w:eastAsia="Arial" w:cs="Arial"/>
          <w:sz w:val="24"/>
          <w:szCs w:val="24"/>
        </w:rPr>
        <w:t xml:space="preserve">OCTAVO: Que, por su parte la demandada, niega que la demandante haya tenido una relación laboral con ellos, argumentando que desempeñaba labores de asesoría en la construcción del Hospital Dr. Gustavo Fricke de Viña del Mar. Según la parte demandada, estas labores eran accidentales y no estaban directamente relacionadas con las funciones legales que deben cumplir. Alegan que los contratos suscritos y la naturaleza de las tareas realizadas indican que la demandante fue contratada para prestar servicios profesionales en Seguridad, Salud Ocupacional y Medio Ambiente, específicamente en la obra de Normalización del Hospital. Sostienen que la demandante fue contratada bajo un ítem presupuestario específico para el pago de asesorías en proyectos de inversión.</w:t>
      </w:r>
    </w:p>
    <w:p>
      <w:pPr>
        <w:jc w:val="both"/>
      </w:pPr>
      <w:r>
        <w:rPr>
          <w:rFonts w:ascii="Arial" w:hAnsi="Arial" w:eastAsia="Arial" w:cs="Arial"/>
          <w:sz w:val="24"/>
          <w:szCs w:val="24"/>
        </w:rPr>
        <w:t xml:space="preserve">Indica que, se suscribieron cinco convenios de honorarios entre la demandante y ellos, desde julio de 2016 hasta febrero de 2020, en los cuales se establecieron funciones específicas relacionadas con asesorías en Seguridad, Salud Ocupacional y Medio Ambiente para el Inspector Técnico de Obras encargado de la fiscalización de la obra del Hospital Dr. Gustavo Fricke de Viña del Mar. Alegan que estas funciones debían ser desempeñadas por un profesional con las competencias de la demandante, derivadas de su título de ingeniera en prevención de riesgos y medio ambiente.</w:t>
      </w:r>
    </w:p>
    <w:p>
      <w:pPr>
        <w:jc w:val="both"/>
      </w:pPr>
      <w:r>
        <w:rPr>
          <w:rFonts w:ascii="Arial" w:hAnsi="Arial" w:eastAsia="Arial" w:cs="Arial"/>
          <w:sz w:val="24"/>
          <w:szCs w:val="24"/>
        </w:rPr>
        <w:t xml:space="preserve">Que, la demandante llevó a cabo su labor en las oficinas de la Inspección Técnica de Obras, ubicada al lado de la obra del Hospital. Según el acuerdo contractual, se determinó que debía cumplir con 44 horas semanales para realizar su trabajo, ya sea en las dependencias o en el terreno. La demandada sostiene que la demandante registraba sus horas de trabajo a través de un registro biométrico utilizado para controlar la entrada y salida del personal del servicio. Además, presentaban informes para respaldar el cumplimiento de las 44 horas semanales.</w:t>
      </w:r>
    </w:p>
    <w:p>
      <w:pPr>
        <w:jc w:val="both"/>
      </w:pPr>
      <w:r>
        <w:rPr>
          <w:rFonts w:ascii="Arial" w:hAnsi="Arial" w:eastAsia="Arial" w:cs="Arial"/>
          <w:sz w:val="24"/>
          <w:szCs w:val="24"/>
        </w:rPr>
        <w:t xml:space="preserve">Que, el registro de las horas de trabajo es un requisito establecido en los convenios de honorarios suscritos y que debe ser fiscalizado por ellos, de acuerdo con los dictámenes de la Contraloría General de la República (dictamen 65453/2016).</w:t>
      </w:r>
    </w:p>
    <w:p>
      <w:pPr>
        <w:jc w:val="both"/>
      </w:pPr>
      <w:r>
        <w:rPr>
          <w:rFonts w:ascii="Arial" w:hAnsi="Arial" w:eastAsia="Arial" w:cs="Arial"/>
          <w:sz w:val="24"/>
          <w:szCs w:val="24"/>
        </w:rPr>
        <w:t xml:space="preserve">Con lo que niega y controvierte los hechos fundantes del libelo.</w:t>
      </w:r>
    </w:p>
    <w:p>
      <w:pPr>
        <w:jc w:val="both"/>
      </w:pPr>
      <w:r>
        <w:rPr>
          <w:rFonts w:ascii="Arial" w:hAnsi="Arial" w:eastAsia="Arial" w:cs="Arial"/>
          <w:sz w:val="24"/>
          <w:szCs w:val="24"/>
        </w:rPr>
        <w:t xml:space="preserve">NOVENO: Que, para analizar la prueba rendida conforme a la controversia planteada por las partes, todo ello de acuerdo a las reglas de la sana crítica de conformidad con lo que dispone el artículo 456 del Código del Trabajo, es necesario tener presente que la acreditación de los hechos es carga probatoria de la demandante de conformidad con lo que establece el artículo 1698 del Código Civil. Que de este modo y analizando los hechos de la presente causa, es posible tener por establecido sin controversia entre ellas, que:</w:t>
      </w:r>
    </w:p>
    <w:p>
      <w:pPr>
        <w:jc w:val="both"/>
      </w:pPr>
      <w:r>
        <w:rPr>
          <w:rFonts w:ascii="Arial" w:hAnsi="Arial" w:eastAsia="Arial" w:cs="Arial"/>
          <w:sz w:val="24"/>
          <w:szCs w:val="24"/>
        </w:rPr>
        <w:t xml:space="preserve">1.- Que la demandante fue contratada para prestar servicios profesionales en Seguridad, Salud Ocupacional y Medio Ambiente, específicamente en la obra de Normalización del Hospital Dr. Gustavo Fricke de Viña del Mar, desde julio de 2016 hasta febrero de 2020, en labores relacionadas con asesorías en Seguridad, Salud Ocupacional y Medio Ambiente para el Inspector Técnico de Obras encargado de la fiscalización de la obra del Hospital Dr. Gustavo Fricke de Viña del Mar. Realizando sus funciones en la oficina de Inspección Técnica de la obra.</w:t>
      </w:r>
    </w:p>
    <w:p>
      <w:pPr>
        <w:jc w:val="both"/>
      </w:pPr>
      <w:r>
        <w:rPr>
          <w:rFonts w:ascii="Arial" w:hAnsi="Arial" w:eastAsia="Arial" w:cs="Arial"/>
          <w:sz w:val="24"/>
          <w:szCs w:val="24"/>
        </w:rPr>
        <w:t xml:space="preserve">2.- Que, cumplió efectivamente con una jornada de trabajo de 44 horas semanales, distribuidas de lunes a viernes, que la demandante registraba sus horas de trabajo a través de un registro biométrico utilizado para controlar la entrada y salida del personal del servicio. Además, presentaban informes para respaldar el cumplimiento de las 44 horas semanales.</w:t>
      </w:r>
    </w:p>
    <w:p>
      <w:pPr>
        <w:jc w:val="both"/>
      </w:pPr>
      <w:r>
        <w:rPr>
          <w:rFonts w:ascii="Arial" w:hAnsi="Arial" w:eastAsia="Arial" w:cs="Arial"/>
          <w:sz w:val="24"/>
          <w:szCs w:val="24"/>
        </w:rPr>
        <w:t xml:space="preserve">3.- Que, para el pago de sus servicios, era a través de boletas electrónicas de honorarios emitidas a nombre del Servicio de Salud Viña del Mar Quillota. Los que recibía en pagos similares y de forma mensual durante toda la vinculación.</w:t>
      </w:r>
    </w:p>
    <w:p>
      <w:pPr>
        <w:jc w:val="both"/>
      </w:pPr>
      <w:r>
        <w:rPr>
          <w:rFonts w:ascii="Arial" w:hAnsi="Arial" w:eastAsia="Arial" w:cs="Arial"/>
          <w:sz w:val="24"/>
          <w:szCs w:val="24"/>
        </w:rPr>
        <w:t xml:space="preserve">4.- Que debía cumplir con 44 horas semanales para realizar su trabajo, ya sea en las dependencias o en el terreno. Las que registraba a través de un registro biométrico utilizado para controlar la entrada y salida del personal del servicio. Además, presentaban informes para respaldar el cumplimiento de las 44 horas semanales</w:t>
      </w:r>
    </w:p>
    <w:p>
      <w:pPr>
        <w:jc w:val="both"/>
      </w:pPr>
      <w:r>
        <w:rPr>
          <w:rFonts w:ascii="Arial" w:hAnsi="Arial" w:eastAsia="Arial" w:cs="Arial"/>
          <w:sz w:val="24"/>
          <w:szCs w:val="24"/>
        </w:rPr>
        <w:t xml:space="preserve">DECIMO: Que, de acuerdo a ello, es menester avocarse a establecer la naturaleza jurídica de la contratación de la actora, teniendo presente los hechos establecidos y analizando los contratos suscritos entre las partes, desde julio de 2016 hasta febrero de 2020.</w:t>
      </w:r>
    </w:p>
    <w:p>
      <w:pPr>
        <w:jc w:val="both"/>
      </w:pPr>
      <w:r>
        <w:rPr>
          <w:rFonts w:ascii="Arial" w:hAnsi="Arial" w:eastAsia="Arial" w:cs="Arial"/>
          <w:sz w:val="24"/>
          <w:szCs w:val="24"/>
        </w:rPr>
        <w:t xml:space="preserve">De ellos y tal como consta de los documentos acompañados a folio 33 a 37 de estos autos, se puede desprender: Que ellos se denominan “Convenio a Honorarios a Suma Alzada, entre el Servicio de Salud Viña del Mar-Quillota y la persona que indica”</w:t>
      </w:r>
    </w:p>
    <w:p>
      <w:pPr>
        <w:jc w:val="both"/>
      </w:pPr>
      <w:r>
        <w:rPr>
          <w:rFonts w:ascii="Arial" w:hAnsi="Arial" w:eastAsia="Arial" w:cs="Arial"/>
          <w:sz w:val="24"/>
          <w:szCs w:val="24"/>
        </w:rPr>
        <w:t xml:space="preserve">Que, el primero de ellos, se suscribió con fecha 7 de julio de 2016, con la actora, en calidad de Ingeniero en prevención de riesgos y medio ambiente, para desempeñarse en el Servicio de Salud Viña del Mar-Quillota, ordenando pagar al contratado la suma alzada pactada. El que fue aprobado con Resolución exenta de fecha 2 de diciembre de 2016.</w:t>
      </w:r>
    </w:p>
    <w:p>
      <w:pPr>
        <w:jc w:val="both"/>
      </w:pPr>
      <w:r>
        <w:rPr>
          <w:rFonts w:ascii="Arial" w:hAnsi="Arial" w:eastAsia="Arial" w:cs="Arial"/>
          <w:sz w:val="24"/>
          <w:szCs w:val="24"/>
        </w:rPr>
        <w:t xml:space="preserve">Que según consta del Convenio Honorario Suma Alzada N° 505, se vincula la contrata a lo dispuesto en el artículo 11 de la ley 18834.- Señalando en su cláusula segunda, que se contrata a la actora para desempeñarse, en esta dirección del servicio, apoyando en el ámbito técnico de su especialidad al Inspector Fiscal en el “Proyecto de Normalización del Hospital Dr. Gustavo Fricke”. Describiéndose a continuación las obligaciones y actividades administrativas que asume el profesional, descritas en 20 numerales.</w:t>
      </w:r>
    </w:p>
    <w:p>
      <w:pPr>
        <w:jc w:val="both"/>
      </w:pPr>
      <w:r>
        <w:rPr>
          <w:rFonts w:ascii="Arial" w:hAnsi="Arial" w:eastAsia="Arial" w:cs="Arial"/>
          <w:sz w:val="24"/>
          <w:szCs w:val="24"/>
        </w:rPr>
        <w:t xml:space="preserve">Por su cláusula tercera, se impone al Inspector Técnico de obras del proyecto, acreditar el cumplimento de la labor contratada, a fin de autorizar el pago. Y pactando un monto mensual bruto, previa deducción del impuesto a la renta, como suma total del monto suma alzada de $11.400.000.- a pagar seis cuotas mensuales de $ 1.900.000.-, por mes vencido, previa emisión de certificado emitido por el Subdirector de Recursos Físicos y Financieros, expresando la conformidad con los servicios prestados.</w:t>
      </w:r>
    </w:p>
    <w:p>
      <w:pPr>
        <w:jc w:val="both"/>
      </w:pPr>
      <w:r>
        <w:rPr>
          <w:rFonts w:ascii="Arial" w:hAnsi="Arial" w:eastAsia="Arial" w:cs="Arial"/>
          <w:sz w:val="24"/>
          <w:szCs w:val="24"/>
        </w:rPr>
        <w:t xml:space="preserve">Su duración era a contar del 1 de julio de 2016 al 31 de diciembre de 2016.</w:t>
      </w:r>
    </w:p>
    <w:p>
      <w:pPr>
        <w:jc w:val="both"/>
      </w:pPr>
      <w:r>
        <w:rPr>
          <w:rFonts w:ascii="Arial" w:hAnsi="Arial" w:eastAsia="Arial" w:cs="Arial"/>
          <w:sz w:val="24"/>
          <w:szCs w:val="24"/>
        </w:rPr>
        <w:t xml:space="preserve">Por su cláusula quinta, se deja expresa constancia que “el profesional” no es funcionario del servicio, no teniendo la calidad de dependiente, pudiendo solo percibir el pago de los honorarios que contempla el convenio y ningún otro pago o beneficio, salvo que la ley o el convenio lo conceda. Se le reconoce derecho a feriado anual, licencias médicas, 4 días de permisos, y se imputa el gasto al ítem 31-02-002.</w:t>
      </w:r>
    </w:p>
    <w:p>
      <w:pPr>
        <w:jc w:val="both"/>
      </w:pPr>
      <w:r>
        <w:rPr>
          <w:rFonts w:ascii="Arial" w:hAnsi="Arial" w:eastAsia="Arial" w:cs="Arial"/>
          <w:sz w:val="24"/>
          <w:szCs w:val="24"/>
        </w:rPr>
        <w:t xml:space="preserve">Que, el siguiente convenio N° 34 y que consta a folio 34 de autos, consta suscrito el 16 de enero de 2017, describiendo los mismos objetivos y declarando en dicho acápite de la cláusula segunda, que la labor realizada es complementaria a las funciones propias de la Dirección de Servicio, no siendo habituales, sino accidentales en los términos de la ley 18.834 y ley 19.886.- Ejecutando las prestaciones en la Dirección del Servicio, para el mismo proyecto, en un periodo de tiempo equivalente a 44 horas semanales. Con cargo al presupuesto Subtítulo 31 ítem 02, asignación 002 “Consultorías”.</w:t>
      </w:r>
    </w:p>
    <w:p>
      <w:pPr>
        <w:jc w:val="both"/>
      </w:pPr>
      <w:r>
        <w:rPr>
          <w:rFonts w:ascii="Arial" w:hAnsi="Arial" w:eastAsia="Arial" w:cs="Arial"/>
          <w:sz w:val="24"/>
          <w:szCs w:val="24"/>
        </w:rPr>
        <w:t xml:space="preserve">Los honorarios a suma alzada pactados, fueron de $ 23.529.600, pagaderos en 12 cuotas mensuales de $ 1.960.800.-, previa deducción del 10% del impuesto único.</w:t>
      </w:r>
    </w:p>
    <w:p>
      <w:pPr>
        <w:jc w:val="both"/>
      </w:pPr>
      <w:r>
        <w:rPr>
          <w:rFonts w:ascii="Arial" w:hAnsi="Arial" w:eastAsia="Arial" w:cs="Arial"/>
          <w:sz w:val="24"/>
          <w:szCs w:val="24"/>
        </w:rPr>
        <w:t xml:space="preserve">En la cláusula quinta de este convenio, se deja constancia de la calidad administrativa de el profesional, declarando que no es funcionario del servicio y no teniendo la calidad de dependiente, y en su párrafo segundo, acepta y reconoce el profesional que de acuerdo al artículo 10° inciso tercero del estatuto administrativo, no tiene la calidad de empleado público.</w:t>
      </w:r>
    </w:p>
    <w:p>
      <w:pPr>
        <w:jc w:val="both"/>
      </w:pPr>
      <w:r>
        <w:rPr>
          <w:rFonts w:ascii="Arial" w:hAnsi="Arial" w:eastAsia="Arial" w:cs="Arial"/>
          <w:sz w:val="24"/>
          <w:szCs w:val="24"/>
        </w:rPr>
        <w:t xml:space="preserve">Por otra parte, y en lo que interesa a la naturaleza de la contratación, se puede desprender de su cláusula décima, que se fijan como normas complementarias, la Ley 19.896.- sobre administración presupuestaria y en subsidio lo que dispone el Código Civil, en cuanto al arrendamiento de servicios inmateriales, “excluyéndose de hecho y de derecho que este contrato pueda considerarse regido por el Código del Trabajo.</w:t>
      </w:r>
    </w:p>
    <w:p>
      <w:pPr>
        <w:jc w:val="both"/>
      </w:pPr>
      <w:r>
        <w:rPr>
          <w:rFonts w:ascii="Arial" w:hAnsi="Arial" w:eastAsia="Arial" w:cs="Arial"/>
          <w:sz w:val="24"/>
          <w:szCs w:val="24"/>
        </w:rPr>
        <w:t xml:space="preserve">Que los restantes convenios de enero de 2018, 2019 y 2020, agregados en autos, los que son similares a los anteriores, en los términos en que se pactó el acuerdo y en objetivos, funciones y demás obligaciones y derechos reconocidos en éstos, aumentando solo el monto de la suma alzada pactada entre las partes.</w:t>
      </w:r>
    </w:p>
    <w:p>
      <w:pPr>
        <w:jc w:val="both"/>
      </w:pPr>
      <w:r>
        <w:rPr>
          <w:rFonts w:ascii="Arial" w:hAnsi="Arial" w:eastAsia="Arial" w:cs="Arial"/>
          <w:sz w:val="24"/>
          <w:szCs w:val="24"/>
        </w:rPr>
        <w:t xml:space="preserve">DECIMO PRIMERO: Que, de este modo, falta establecer la naturaleza de las funciones que ejecutaba la actora, a fin de poder determinar si esta vinculación, denominada convenio a honorarios a suma alzada, reviste las características de un vínculo de subordinación y dependencia, debiendo para ello al tenor del artículo 11 de la ley 18.834, determinar si sus labores son accidentales y específicas, o bien son funciones esenciales del servicio.</w:t>
      </w:r>
    </w:p>
    <w:p>
      <w:pPr>
        <w:jc w:val="both"/>
      </w:pPr>
      <w:r>
        <w:rPr>
          <w:rFonts w:ascii="Arial" w:hAnsi="Arial" w:eastAsia="Arial" w:cs="Arial"/>
          <w:sz w:val="24"/>
          <w:szCs w:val="24"/>
        </w:rPr>
        <w:t xml:space="preserve">Así, según dispone la norma: “Podrá contratarse sobre la base de honorarios a profesionales y técnicos de educación superior o expertos en determinadas materias, cuando deban realizarse labores accidentales y que no sean las habituales de la institución, mediante resolución de la autoridad correspondiente. Del mismo modo se podrá contratar, sobre la base de honorarios, a extranjeros que posean título correspondiente a la especialidad que se requiera.</w:t>
      </w:r>
    </w:p>
    <w:p>
      <w:pPr>
        <w:jc w:val="both"/>
      </w:pPr>
      <w:r>
        <w:rPr>
          <w:rFonts w:ascii="Arial" w:hAnsi="Arial" w:eastAsia="Arial" w:cs="Arial"/>
          <w:sz w:val="24"/>
          <w:szCs w:val="24"/>
        </w:rPr>
        <w:t xml:space="preserve">Además, se podrá contratar sobre la base de honorarios, la prestación de servicios para cometidos específicos, conforme a las normas generales.</w:t>
      </w:r>
    </w:p>
    <w:p>
      <w:pPr>
        <w:jc w:val="both"/>
      </w:pPr>
      <w:r>
        <w:rPr>
          <w:rFonts w:ascii="Arial" w:hAnsi="Arial" w:eastAsia="Arial" w:cs="Arial"/>
          <w:sz w:val="24"/>
          <w:szCs w:val="24"/>
        </w:rPr>
        <w:t xml:space="preserve">Las personas contratadas a honorarios se regirán por las reglas que establezca el respectivo contrato y no les serán aplicables las disposiciones de este estatuto”</w:t>
      </w:r>
    </w:p>
    <w:p>
      <w:pPr>
        <w:jc w:val="both"/>
      </w:pPr>
      <w:r>
        <w:rPr>
          <w:rFonts w:ascii="Arial" w:hAnsi="Arial" w:eastAsia="Arial" w:cs="Arial"/>
          <w:sz w:val="24"/>
          <w:szCs w:val="24"/>
        </w:rPr>
        <w:t xml:space="preserve">De la norma transcrita se desprende que, solo puede contratarse sobre la base de honorarios consistentes en una suma alzada u otro sistema cuando se trate de profesionales, técnicos o expertos, cuyas labores, por su naturaleza, no sean susceptibles de ser asimiladas a posiciones de la escala única de sueldos (según Dictamen de Contraloría General de la República N° 51.560/2014)</w:t>
      </w:r>
    </w:p>
    <w:p>
      <w:pPr>
        <w:jc w:val="both"/>
      </w:pPr>
      <w:r>
        <w:rPr>
          <w:rFonts w:ascii="Arial" w:hAnsi="Arial" w:eastAsia="Arial" w:cs="Arial"/>
          <w:sz w:val="24"/>
          <w:szCs w:val="24"/>
        </w:rPr>
        <w:t xml:space="preserve">DECIMO SEGUNDO: Que en la especie los objetivos específicos descritos en los Convenios Suscritos, no corresponden a una función propia del Servicio de Salud, sino un cometido específico en función del Proyecto de Normalización del Hospital Dr. Gustavo Fricke”, proyecto que cuenta con una partida presupuestaria específica para su ejecución y que contempla como Jefatura al Ito a cargo de la Obra, profesional que requirió de apoyo técnico y especializado, como eran las funciones de Ingeniera en Prevención de Riesgos que ostenta la demandante, tal como se analizó del contenido de los convenios en el considerando décimo de esta sentencia.</w:t>
      </w:r>
    </w:p>
    <w:p>
      <w:pPr>
        <w:jc w:val="both"/>
      </w:pPr>
      <w:r>
        <w:rPr>
          <w:rFonts w:ascii="Arial" w:hAnsi="Arial" w:eastAsia="Arial" w:cs="Arial"/>
          <w:sz w:val="24"/>
          <w:szCs w:val="24"/>
        </w:rPr>
        <w:t xml:space="preserve">De este modo, si bien el proyecto resulta fundamental para el funcionamiento del Hospital, tal como consta de su actual implementación, no se trata de labores habituales de éste, las obras de mejoramiento que se ejecutaron; razón por la que fue menester la contratación transitoria y especializada de la actora para prestar los servicios que comprometió en la obra y mientras duraba su ejecución. Así consta del tenor de los convenios suscritos y su descripción detallada de los objetivos específicos de las funciones de la actora.</w:t>
      </w:r>
    </w:p>
    <w:p>
      <w:pPr>
        <w:jc w:val="both"/>
      </w:pPr>
      <w:r>
        <w:rPr>
          <w:rFonts w:ascii="Arial" w:hAnsi="Arial" w:eastAsia="Arial" w:cs="Arial"/>
          <w:sz w:val="24"/>
          <w:szCs w:val="24"/>
        </w:rPr>
        <w:t xml:space="preserve">También se corrobora con el testimonio de los testigos comparecientes por la demandante: por su parte doña Karen Navarrete expuso al respecto: “Ella es prevencionista de riesgo tiene que asesora al inspector de obra, sr Quiroga, asesora en materia de riesgos, salud ocupacional, tenía que ir a obra todo los días, los trabajadores de la empresa OHL que estaba a cargo de la construcción del hospital, tenía que supervisar los instrumentos cascos y maquinarias, su trabajo era supervisar la prevención de riesgos, le daba cuenta al director técnico de obra, era su jefe directo”, “El ITO era sólo para la construcción del hospital”</w:t>
      </w:r>
    </w:p>
    <w:p>
      <w:pPr>
        <w:jc w:val="both"/>
      </w:pPr>
      <w:r>
        <w:rPr>
          <w:rFonts w:ascii="Arial" w:hAnsi="Arial" w:eastAsia="Arial" w:cs="Arial"/>
          <w:sz w:val="24"/>
          <w:szCs w:val="24"/>
        </w:rPr>
        <w:t xml:space="preserve">Doña Alejandra Godoy expuso por su parte: “Ella era asesor de equipamiento, cuando había licitación pública se hace visita técnica con los proveedores y ella se encargaba de revisar que todos tuvieran los equipos, luego, cuando las licitaciones se adjudicaban mandaban documentos relacionados a la prevención y ella debía verificar. En sus rondas diarias hacia observaciones a los proveedores y hacia charlas, de estas labores daba cuenta al ITO… Al inspector técnico le solicitaba permiso de trabajo. El organigrama era el ITO y luego los especialistas, equipamiento, coordinador y todas las especialidades” Del tenor de dichas declaraciones, por parte de testigos de la propia actora y que desempeñaron funciones con ésta, se pudo desprender la especialidad de las funciones descritas en los instrumentos suscritos por las partes, y la circunstancia de ser una labor específica contratada sólo para la construcción del Hospital.</w:t>
      </w:r>
    </w:p>
    <w:p>
      <w:pPr>
        <w:jc w:val="both"/>
      </w:pPr>
      <w:r>
        <w:rPr>
          <w:rFonts w:ascii="Arial" w:hAnsi="Arial" w:eastAsia="Arial" w:cs="Arial"/>
          <w:sz w:val="24"/>
          <w:szCs w:val="24"/>
        </w:rPr>
        <w:t xml:space="preserve">Ahonda en ello, el contenido del Decreto Nº172 del 14 de febrero de 2019 del Ministerio de Hacienda, que identifica como iniciativa de inversión en el presupuesto del sector público, la Normalización del Hospital Dr. Gustavo Fricke, otorgando partida presupuestaria para ello y las labores asociadas a su ejecución, proyecto que fue aprobado mediante Resolución Afecta N° 167 de 2013 del Servicio de Salud de Viña del Mar Quillota que aprueba el contrato de ejecución de las obras de construcción del Hospital Dr. Gustavo Fricke de Viña del Mar. Obra que según consta del documento acompañado por la demandada consistente en Resolución Exenta Nº 1736 de 11 de marzo de 2020, de la Dirección del Servicio de Salud de Viña del Mar-Quillota que autorizó la explotación del Hospital Dr. Gustavo Fricke de Viña del Mar, aun sin la recepción definitiva, todo ello con ocasión de la Pandemia.</w:t>
      </w:r>
    </w:p>
    <w:p>
      <w:pPr>
        <w:jc w:val="both"/>
      </w:pPr>
      <w:r>
        <w:rPr>
          <w:rFonts w:ascii="Arial" w:hAnsi="Arial" w:eastAsia="Arial" w:cs="Arial"/>
          <w:sz w:val="24"/>
          <w:szCs w:val="24"/>
        </w:rPr>
        <w:t xml:space="preserve">Por otra parte, la testimonial de la demandada, no difiere sustancialmente en cuanto a la naturaleza de las funciones de la actora, para ello es menester tener presente lo declarado por el testigo don Alfredo Miranda V., ITO del Proyecto, y que señaló: “fue contratada como asesor de la ITO, prestaba servicios como externo en el área de prevención de riesgo, y se desempeñaba en obra, verificaba que se cumplieran las medidas de seguridad, cuando había una desviación informaba al contratista, la ejecución de sus funciones, era asesorar al ITO en cuanto a la seguridad de la obra y cuidado del medio amiente. Para estas funciones, se desempeñaba directamente en la obra, se les asignaba instalaciones de la faena, la inspección técnica, él y los demás asesores contratados como externos por el servicio de salud, la instalación de faena estaba 100% en obra, en el mismo hospital, en Simón Bolívar con Viana”</w:t>
      </w:r>
    </w:p>
    <w:p>
      <w:pPr>
        <w:jc w:val="both"/>
      </w:pPr>
      <w:r>
        <w:rPr>
          <w:rFonts w:ascii="Arial" w:hAnsi="Arial" w:eastAsia="Arial" w:cs="Arial"/>
          <w:sz w:val="24"/>
          <w:szCs w:val="24"/>
        </w:rPr>
        <w:t xml:space="preserve">Contrainterrogado por la demandante, señaló que: “Ejecuto funciones hasta el termino anticipado de la obra el 13 de marzo de 2020, y luego vio la entrega de la obra. La demandante ya estaba contratada, ahora es ITO, del Hospital Marga Marga, actualmente tiene un equipo asesor de 27 personas, cuenta con un prevencionista de riesgo”; “Marcela solamente prestaba servicios en la obra, ellos tienen una oficina llamada instalación de faena, donde hay un escritorio y una silla, ahí ella escribe sus informes y todo lo demás, pero su labor es en terreno”, “Ella termino de trabajar el 31 de diciembre 2020, o 2019, se le puso término al contrato por que acabo el plazo”</w:t>
      </w:r>
    </w:p>
    <w:p>
      <w:pPr>
        <w:jc w:val="both"/>
      </w:pPr>
      <w:r>
        <w:rPr>
          <w:rFonts w:ascii="Arial" w:hAnsi="Arial" w:eastAsia="Arial" w:cs="Arial"/>
          <w:sz w:val="24"/>
          <w:szCs w:val="24"/>
        </w:rPr>
        <w:t xml:space="preserve">Por su parte, don Manuel Urbina, también testigo de la demandada, expuso en similar sentido la naturaleza de las funciones de la actora, y agregó: “El proyecto del Hospital Gustavo Fricke, se concluyó el 2020 como proyecto, actualmente están en etapa de recepción final. En marzo de 2020 concluyo con una resolución anticipada de la construcción del Hospital.</w:t>
      </w:r>
    </w:p>
    <w:p>
      <w:pPr>
        <w:jc w:val="both"/>
      </w:pPr>
      <w:r>
        <w:rPr>
          <w:rFonts w:ascii="Arial" w:hAnsi="Arial" w:eastAsia="Arial" w:cs="Arial"/>
          <w:sz w:val="24"/>
          <w:szCs w:val="24"/>
        </w:rPr>
        <w:t xml:space="preserve">Contrainterrogado por la demandante, señaló que la actora, “ingresó el 2016 y desde esa época la conoce. Él es supervisor de los Inspectores de Obra. En cuanto a las labores que ejecutaba ella tenía contrato a honorario como experta en determinada materia, ella era experta en prevención de riesgos, ella estuvo en ese proyecto el 2o16, hasta los primeros meses de 2020. No hubo interrupción en esos periodos”</w:t>
      </w:r>
    </w:p>
    <w:p>
      <w:pPr>
        <w:jc w:val="both"/>
      </w:pPr>
      <w:r>
        <w:rPr>
          <w:rFonts w:ascii="Arial" w:hAnsi="Arial" w:eastAsia="Arial" w:cs="Arial"/>
          <w:sz w:val="24"/>
          <w:szCs w:val="24"/>
        </w:rPr>
        <w:t xml:space="preserve">De esta última declaración además se extrae la continuidad de la prestación de servicios de la actora desde 2016 y hasta los primeros meses de 2020, duración concordante con la duración de la obra, y que no torna en indefinida su vinculación, sino que reafirma la duración temporal de ésta, entretanto se ejecute la obra, y se cuente con la partida presupuestaria para ello.</w:t>
      </w:r>
    </w:p>
    <w:p>
      <w:pPr>
        <w:jc w:val="both"/>
      </w:pPr>
      <w:r>
        <w:rPr>
          <w:rFonts w:ascii="Arial" w:hAnsi="Arial" w:eastAsia="Arial" w:cs="Arial"/>
          <w:sz w:val="24"/>
          <w:szCs w:val="24"/>
        </w:rPr>
        <w:t xml:space="preserve">DECIMO TERCERO: Que, tal como ha sostenido la Excma. Corte Suprema en fallo de unificación dictado por la cuarta sala, con fecha 15 de marzo de 2018, en causa rol número 35.151-2017, “que los trabajos que se efectúan conforme a esta última calidad jurídica constituyen una modalidad de prestación de servicios particulares, que no confiere al que los desarrolla la calidad de funcionario público, y los derechos que le asisten son los que establecen el respectivo contrato; siendo labores accidentales y no habituales del órgano respectivo a aquellas que, no obstante ser propias de dicho ente, son ocasionales, esto es, circunstanciales, accidentales y distintas de las que realiza el personal de planta o a contrata; y por cometidos específicos, es decir, aquellas que están claramente determinadas en el tiempo y perfectamente individualizadas, y qué, excepcionalmente pueden consistir en funciones propias y habituales del ente administrativo, pero bajo ningún concepto, Se pueden desarrollar de manera permanente conforme dicha modalidad.”</w:t>
      </w:r>
    </w:p>
    <w:p>
      <w:pPr>
        <w:jc w:val="both"/>
      </w:pPr>
      <w:r>
        <w:rPr>
          <w:rFonts w:ascii="Arial" w:hAnsi="Arial" w:eastAsia="Arial" w:cs="Arial"/>
          <w:sz w:val="24"/>
          <w:szCs w:val="24"/>
        </w:rPr>
        <w:t xml:space="preserve">En consecuencia, serán accidentales, los servicios no permanentes de la institución, que puedan interrumpirse, y que no se sirvan de forma permanente ni continua a la ejecución de las funciones habituales del servicio. En el caso de análisis, y tal como se estableció en los considerandos precedentes, las funciones de la actora, eran especializadas en materias de su conocimiento específico y con duración condicionada al término del Proyecto de Mejoramiento del Hospital Dr. Gustavo Fricke.</w:t>
      </w:r>
    </w:p>
    <w:p>
      <w:pPr>
        <w:jc w:val="both"/>
      </w:pPr>
      <w:r>
        <w:rPr>
          <w:rFonts w:ascii="Arial" w:hAnsi="Arial" w:eastAsia="Arial" w:cs="Arial"/>
          <w:sz w:val="24"/>
          <w:szCs w:val="24"/>
        </w:rPr>
        <w:t xml:space="preserve">DECIMO CUARTO: Que atendido el tenor de las conclusiones a las que se ha arribado precedentemente, será menester rechazar en todas sus partes la demanda materia de autos, por resultar válida y ajustada a los hechos y al derecho la forma de contratación de la actora.</w:t>
      </w:r>
    </w:p>
    <w:p>
      <w:pPr>
        <w:jc w:val="both"/>
      </w:pPr>
      <w:r>
        <w:rPr>
          <w:rFonts w:ascii="Arial" w:hAnsi="Arial" w:eastAsia="Arial" w:cs="Arial"/>
          <w:sz w:val="24"/>
          <w:szCs w:val="24"/>
        </w:rPr>
        <w:t xml:space="preserve">DECIMO QUINTO: Que, no existen otros antecedentes no analizados que permitan variar las conclusiones a las que se ha arribado en esta sentencia.</w:t>
      </w:r>
    </w:p>
    <w:p>
      <w:pPr>
        <w:jc w:val="both"/>
      </w:pPr>
      <w:r>
        <w:rPr>
          <w:rFonts w:ascii="Arial" w:hAnsi="Arial" w:eastAsia="Arial" w:cs="Arial"/>
          <w:sz w:val="24"/>
          <w:szCs w:val="24"/>
        </w:rPr>
        <w:t xml:space="preserve">DECIMO SEXTO: Que se omite pronunciamiento respecto de todas las prestaciones demandadas, las que son incompatibles con lo resuelto.</w:t>
      </w:r>
    </w:p>
    <w:p>
      <w:pPr>
        <w:jc w:val="both"/>
      </w:pPr>
      <w:r>
        <w:rPr>
          <w:rFonts w:ascii="Arial" w:hAnsi="Arial" w:eastAsia="Arial" w:cs="Arial"/>
          <w:sz w:val="24"/>
          <w:szCs w:val="24"/>
        </w:rPr>
        <w:t xml:space="preserve">DECIMO OCTAVO: Que, pese a haber sido totalmente vencida la demandante, no se le condenará en costas, por estimar que litigó con motivo plausible para hacerlo.</w:t>
      </w:r>
    </w:p>
    <w:p>
      <w:pPr>
        <w:jc w:val="both"/>
      </w:pPr>
      <w:r>
        <w:rPr>
          <w:rFonts w:ascii="Arial" w:hAnsi="Arial" w:eastAsia="Arial" w:cs="Arial"/>
          <w:sz w:val="24"/>
          <w:szCs w:val="24"/>
        </w:rPr>
        <w:t xml:space="preserve">Y, visto, además, lo dispuesto por el artículo 1698 del Código Civil, artículos 1, 3, 159, 160, 446, 453, 454 y demás pertinentes del Código del Trabajo; artículo 11 y demás pertinentes de la Ley 18834, se declara que:</w:t>
      </w:r>
    </w:p>
    <w:p>
      <w:pPr>
        <w:jc w:val="both"/>
      </w:pPr>
      <w:r>
        <w:rPr>
          <w:rFonts w:ascii="Arial" w:hAnsi="Arial" w:eastAsia="Arial" w:cs="Arial"/>
          <w:sz w:val="24"/>
          <w:szCs w:val="24"/>
        </w:rPr>
        <w:t xml:space="preserve">I.- Que, se rechaza, sin costas, la demanda deducida por doña Marcela Del Carmen Acevedo Cuevas, en contra del Servicio De Salud Viña Del Mar Quillota,</w:t>
      </w:r>
    </w:p>
    <w:p>
      <w:pPr>
        <w:jc w:val="both"/>
      </w:pPr>
      <w:r>
        <w:rPr>
          <w:rFonts w:ascii="Arial" w:hAnsi="Arial" w:eastAsia="Arial" w:cs="Arial"/>
          <w:sz w:val="24"/>
          <w:szCs w:val="24"/>
        </w:rPr>
        <w:t xml:space="preserve">Regístrese, notifíquese y hecho archívese los autos en su oportunidad.</w:t>
      </w:r>
    </w:p>
    <w:p>
      <w:pPr>
        <w:jc w:val="both"/>
      </w:pPr>
      <w:r>
        <w:rPr>
          <w:rFonts w:ascii="Arial" w:hAnsi="Arial" w:eastAsia="Arial" w:cs="Arial"/>
          <w:sz w:val="24"/>
          <w:szCs w:val="24"/>
        </w:rPr>
        <w:t xml:space="preserve">RIT O-563-2020</w:t>
      </w:r>
    </w:p>
    <w:p>
      <w:pPr>
        <w:jc w:val="both"/>
      </w:pPr>
      <w:r>
        <w:rPr>
          <w:rFonts w:ascii="Arial" w:hAnsi="Arial" w:eastAsia="Arial" w:cs="Arial"/>
          <w:sz w:val="24"/>
          <w:szCs w:val="24"/>
        </w:rPr>
        <w:t xml:space="preserve">RUC 20- 4-0264140-2</w:t>
      </w:r>
    </w:p>
    <w:p>
      <w:pPr>
        <w:jc w:val="both"/>
      </w:pPr>
      <w:r>
        <w:rPr>
          <w:rFonts w:ascii="Arial" w:hAnsi="Arial" w:eastAsia="Arial" w:cs="Arial"/>
          <w:sz w:val="24"/>
          <w:szCs w:val="24"/>
        </w:rPr>
        <w:t xml:space="preserve">Dictada por Catalina Lagos Gómez, Juez Destinada del Juzgado de Letras del Trabajo de Valparaíso.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En Valparaíso a veintidós de junio de dos mil veintitrés, se notificó por el estado diario la resolución precedente.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
      </w:r>
    </w:p>
    <w:sectPr>
      <w:headerReference w:type="default" r:id="rId7"/>
      <w:footerReference w:type="default" r:id="rId8"/>
      <w:pgSz w:orient="portrait" w:w="12240" w:h="15840"/>
      <w:pgMar w:top="2267.7165354330705" w:right="566.9291338582676" w:bottom="2267.7165354330705" w:left="566.9291338582676"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474.015748031496" w:type="dxa"/>
      <w:gridCol w:w="4308.6614173228345" w:type="dxa"/>
      <w:gridCol w:w="3741.7322834645665" w:type="dxa"/>
      <w:gridCol w:w="1700.787401574803" w:type="dxa"/>
    </w:tblGrid>
    <w:tblPr>
      <w:jc w:val="center"/>
      <w:tblW w:w="11225.1968503937" w:type="auto"/>
      <w:tblLayout w:type="autofit"/>
      <w:bidiVisual w:val="0"/>
      <w:tblCellMar>
        <w:top w:w="170.07874015748033" w:type="dxa"/>
        <w:left w:w="170.07874015748033" w:type="dxa"/>
        <w:right w:w="170.07874015748033" w:type="dxa"/>
        <w:bottom w:w="170.07874015748033" w:type="dxa"/>
      </w:tblCellMar>
    </w:tblPr>
    <w:tr>
      <w:trPr/>
      <w:tc>
        <w:tcPr>
          <w:tcW w:w="1474.015748031496" w:type="dxa"/>
          <w:vAlign w:val="center"/>
          <w:tcBorders>
            <w:top w:val="single" w:sz="0" w:color="000000"/>
            <w:left w:val="single" w:sz="0" w:color="000000"/>
            <w:right w:val="single" w:sz="0" w:color="000000"/>
            <w:bottom w:val="single" w:sz="0" w:color="000000"/>
          </w:tcBorders>
          <w:shd w:val="clear" w:fill="000000"/>
        </w:tcPr>
        <w:p>
          <w:pPr/>
          <w:r>
            <w:pict>
              <v:shape type="#_x0000_t75" stroked="f" style="width:100pt; height:26.651305683564pt; margin-left:0pt; margin-top:0pt; mso-position-horizontal:left; mso-position-vertical:top; mso-position-horizontal-relative:char; mso-position-vertical-relative:line;">
                <w10:wrap type="inline"/>
                <v:imagedata r:id="rId1" o:title=""/>
              </v:shape>
            </w:pict>
          </w:r>
        </w:p>
      </w:tc>
      <w:tc>
        <w:tcPr>
          <w:tcW w:w="4308.6614173228345" w:type="dxa"/>
          <w:vAlign w:val="center"/>
          <w:tcBorders>
            <w:top w:val="single" w:sz="0" w:color="000000"/>
            <w:left w:val="single" w:sz="0" w:color="000000"/>
            <w:right w:val="single" w:sz="0" w:color="000000"/>
            <w:bottom w:val="single" w:sz="0" w:color="000000"/>
          </w:tcBorders>
          <w:shd w:val="clear" w:fill="000000"/>
        </w:tcPr>
        <w:p>
          <w:pPr>
            <w:jc w:val="center"/>
            <w:spacing w:before="0" w:after="70"/>
          </w:pPr>
          <w:r>
            <w:rPr>
              <w:rFonts w:ascii="Arial" w:hAnsi="Arial" w:eastAsia="Arial" w:cs="Arial"/>
              <w:sz w:val="16"/>
              <w:szCs w:val="16"/>
            </w:rPr>
            <w:t xml:space="preserve">https://juris.pjud.cl</w:t>
          </w:r>
        </w:p>
      </w:tc>
      <w:tc>
        <w:tcPr>
          <w:tcW w:w="3741.7322834645665" w:type="dxa"/>
          <w:vAlign w:val="center"/>
          <w:tcBorders>
            <w:top w:val="single" w:sz="0" w:color="000000"/>
            <w:left w:val="single" w:sz="0" w:color="000000"/>
            <w:right w:val="single" w:sz="0" w:color="000000"/>
            <w:bottom w:val="single" w:sz="0" w:color="000000"/>
          </w:tcBorders>
          <w:shd w:val="clear" w:fill="000000"/>
        </w:tcPr>
        <w:p>
          <w:pPr>
            <w:jc w:val="center"/>
            <w:spacing w:before="0" w:after="70"/>
          </w:pPr>
          <w:r>
            <w:rPr>
              <w:rFonts w:ascii="Arial" w:hAnsi="Arial" w:eastAsia="Arial" w:cs="Arial"/>
              <w:sz w:val="16"/>
              <w:szCs w:val="16"/>
            </w:rPr>
            <w:t xml:space="preserve">Documento generado el 09-12-2025</w:t>
          </w:r>
        </w:p>
        <w:p>
          <w:pPr>
            <w:jc w:val="center"/>
            <w:spacing w:before="0" w:after="70"/>
          </w:pPr>
          <w:r>
            <w:rPr>
              <w:rFonts w:ascii="Arial" w:hAnsi="Arial" w:eastAsia="Arial" w:cs="Arial"/>
              <w:sz w:val="16"/>
              <w:szCs w:val="16"/>
            </w:rPr>
            <w:t xml:space="preserve">a las 10:43 hrs.</w:t>
          </w:r>
        </w:p>
      </w:tc>
      <w:tc>
        <w:tcPr>
          <w:tcW w:w="1700.787401574803" w:type="dxa"/>
          <w:vAlign w:val="center"/>
          <w:tcBorders>
            <w:top w:val="single" w:sz="0" w:color="000000"/>
            <w:left w:val="single" w:sz="0" w:color="000000"/>
            <w:right w:val="single" w:sz="0" w:color="000000"/>
            <w:bottom w:val="single" w:sz="0" w:color="000000"/>
          </w:tcBorders>
          <w:shd w:val="clear" w:fill="000000"/>
        </w:tcPr>
        <w:p>
          <w:pPr>
            <w:jc w:val="center"/>
          </w:pPr>
          <w:r>
            <w:rPr>
              <w:rFonts w:ascii="Arial" w:hAnsi="Arial" w:eastAsia="Arial" w:cs="Arial"/>
              <w:sz w:val="20"/>
              <w:szCs w:val="20"/>
            </w:rPr>
            <w:t xml:space="preserve">Página </w:t>
          </w:r>
          <w:r>
            <w:fldChar w:fldCharType="begin"/>
          </w:r>
          <w:r>
            <w:rPr>
              <w:rFonts w:ascii="Arial" w:hAnsi="Arial" w:eastAsia="Arial" w:cs="Arial"/>
              <w:sz w:val="20"/>
              <w:szCs w:val="20"/>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612.59842519685" w:type="dxa"/>
      <w:gridCol w:w="5612.59842519685" w:type="dxa"/>
    </w:tblGrid>
    <w:tblPr>
      <w:jc w:val="center"/>
      <w:tblW w:w="11225.1968503937" w:type="auto"/>
      <w:tblLayout w:type="autofit"/>
      <w:bidiVisual w:val="0"/>
      <w:tblCellMar>
        <w:top w:w="170.07874015748033" w:type="dxa"/>
        <w:left w:w="170.07874015748033" w:type="dxa"/>
        <w:right w:w="170.07874015748033" w:type="dxa"/>
        <w:bottom w:w="170.07874015748033" w:type="dxa"/>
      </w:tblCellMar>
    </w:tblPr>
    <w:tr>
      <w:trPr/>
      <w:tc>
        <w:tcPr>
          <w:tcW w:w="5612.59842519685" w:type="dxa"/>
          <w:vAlign w:val="center"/>
          <w:tcBorders>
            <w:top w:val="single" w:sz="0" w:color="1b45a2"/>
            <w:left w:val="single" w:sz="0" w:color="1b45a2"/>
            <w:right w:val="single" w:sz="0" w:color="1b45a2"/>
            <w:bottom w:val="single" w:sz="0" w:color="1b45a2"/>
          </w:tcBorders>
          <w:shd w:val="clear" w:fill="1f8564"/>
        </w:tcPr>
        <w:p>
          <w:pPr/>
          <w:r>
            <w:pict>
              <v:shape type="#_x0000_t75" stroked="f" style="width:100pt; height:44.334975369458pt; margin-left:0pt; margin-top:0pt; mso-position-horizontal:left; mso-position-vertical:top; mso-position-horizontal-relative:char; mso-position-vertical-relative:line;">
                <w10:wrap type="inline"/>
                <v:imagedata r:id="rId1" o:title=""/>
              </v:shape>
            </w:pict>
          </w:r>
        </w:p>
      </w:tc>
      <w:tc>
        <w:tcPr>
          <w:tcW w:w="5612.59842519685" w:type="dxa"/>
          <w:vAlign w:val="center"/>
          <w:tcBorders>
            <w:top w:val="single" w:sz="0" w:color="1b45a2"/>
            <w:left w:val="single" w:sz="0" w:color="1b45a2"/>
            <w:right w:val="single" w:sz="0" w:color="1b45a2"/>
            <w:bottom w:val="single" w:sz="0" w:color="1b45a2"/>
          </w:tcBorders>
          <w:shd w:val="clear" w:fill="1f8564"/>
        </w:tcPr>
        <w:p>
          <w:pPr>
            <w:jc w:val="right"/>
          </w:pPr>
          <w:r>
            <w:pict>
              <v:shape type="#_x0000_t75" stroked="f" style="width:55pt; height:25.47131147541pt; margin-left:0pt; margin-top:0pt; mso-position-horizontal:left; mso-position-vertical:top; mso-position-horizontal-relative:char; mso-position-vertical-relative:line;">
                <w10:wrap type="inline"/>
                <v:imagedata r:id="rId2"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S-E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S-E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2025-12-09T10:43:00-03:00</dcterms:created>
  <dcterms:modified xsi:type="dcterms:W3CDTF">2025-12-09T10:43:00-03:00</dcterms:modified>
</cp:coreProperties>
</file>

<file path=docProps/custom.xml><?xml version="1.0" encoding="utf-8"?>
<Properties xmlns="http://schemas.openxmlformats.org/officeDocument/2006/custom-properties" xmlns:vt="http://schemas.openxmlformats.org/officeDocument/2006/docPropsVTypes"/>
</file>